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A5DCA">
      <w:pPr>
        <w:spacing w:line="560" w:lineRule="exact"/>
        <w:rPr>
          <w:rFonts w:hint="eastAsia" w:ascii="宋体" w:hAnsi="宋体" w:eastAsia="宋体"/>
          <w:sz w:val="30"/>
          <w:szCs w:val="30"/>
          <w:lang w:eastAsia="zh-CN"/>
        </w:rPr>
      </w:pPr>
      <w:r>
        <w:rPr>
          <w:rFonts w:hint="eastAsia" w:ascii="仿宋_GB2312" w:hAnsi="仿宋" w:eastAsia="仿宋_GB2312"/>
          <w:kern w:val="2"/>
          <w:sz w:val="32"/>
          <w:szCs w:val="32"/>
          <w:lang w:eastAsia="zh-CN" w:bidi="ar-SA"/>
        </w:rPr>
        <w:t>附件</w:t>
      </w:r>
      <w:r>
        <w:rPr>
          <w:rFonts w:hint="eastAsia" w:ascii="仿宋_GB2312" w:hAnsi="仿宋" w:eastAsia="仿宋_GB2312"/>
          <w:kern w:val="2"/>
          <w:sz w:val="32"/>
          <w:szCs w:val="32"/>
          <w:lang w:val="en-US" w:eastAsia="zh-CN" w:bidi="ar-SA"/>
        </w:rPr>
        <w:t>1</w:t>
      </w:r>
      <w:r>
        <w:rPr>
          <w:rFonts w:hint="eastAsia" w:ascii="宋体" w:hAnsi="宋体" w:eastAsia="宋体"/>
          <w:sz w:val="30"/>
          <w:szCs w:val="30"/>
          <w:lang w:eastAsia="zh-CN"/>
        </w:rPr>
        <w:t xml:space="preserve">          </w:t>
      </w:r>
    </w:p>
    <w:p w14:paraId="547CC933">
      <w:pPr>
        <w:spacing w:line="560" w:lineRule="exact"/>
        <w:jc w:val="center"/>
        <w:rPr>
          <w:rFonts w:hint="default" w:ascii="宋体" w:hAnsi="宋体" w:eastAsia="宋体" w:cs="宋体"/>
          <w:b/>
          <w:bCs/>
          <w:kern w:val="2"/>
          <w:sz w:val="36"/>
          <w:szCs w:val="36"/>
          <w:lang w:val="en-US" w:eastAsia="zh-CN" w:bidi="ar-SA"/>
        </w:rPr>
      </w:pPr>
      <w:r>
        <w:rPr>
          <w:rFonts w:hint="eastAsia" w:ascii="宋体" w:hAnsi="宋体" w:eastAsia="宋体" w:cs="宋体"/>
          <w:b/>
          <w:bCs/>
          <w:kern w:val="2"/>
          <w:sz w:val="44"/>
          <w:szCs w:val="44"/>
          <w:lang w:eastAsia="zh-CN" w:bidi="ar-SA"/>
        </w:rPr>
        <w:t>深圳市宝排水质检测中心有限公司电感耦合等离子发射光谱仪维修项目</w:t>
      </w:r>
      <w:r>
        <w:rPr>
          <w:rFonts w:hint="eastAsia" w:ascii="宋体" w:hAnsi="宋体" w:eastAsia="宋体" w:cs="宋体"/>
          <w:b/>
          <w:bCs/>
          <w:kern w:val="2"/>
          <w:sz w:val="44"/>
          <w:szCs w:val="44"/>
          <w:lang w:val="en-US" w:eastAsia="zh-CN" w:bidi="ar-SA"/>
        </w:rPr>
        <w:t>需求书</w:t>
      </w:r>
    </w:p>
    <w:p w14:paraId="523F99EB">
      <w:pPr>
        <w:spacing w:line="560" w:lineRule="exact"/>
        <w:jc w:val="center"/>
        <w:rPr>
          <w:rFonts w:hint="eastAsia" w:ascii="仿宋_GB2312" w:hAnsi="仿宋" w:eastAsia="仿宋_GB2312"/>
          <w:kern w:val="2"/>
          <w:sz w:val="32"/>
          <w:szCs w:val="32"/>
          <w:lang w:eastAsia="zh-CN" w:bidi="ar-SA"/>
        </w:rPr>
      </w:pPr>
      <w:bookmarkStart w:id="0" w:name="_GoBack"/>
      <w:bookmarkEnd w:id="0"/>
    </w:p>
    <w:tbl>
      <w:tblPr>
        <w:tblStyle w:val="7"/>
        <w:tblW w:w="98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5"/>
        <w:gridCol w:w="8363"/>
      </w:tblGrid>
      <w:tr w14:paraId="1F408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8" w:hRule="atLeast"/>
          <w:jc w:val="center"/>
        </w:trPr>
        <w:tc>
          <w:tcPr>
            <w:tcW w:w="1445" w:type="dxa"/>
            <w:vAlign w:val="center"/>
          </w:tcPr>
          <w:p w14:paraId="6D00B7E4">
            <w:pPr>
              <w:spacing w:line="560" w:lineRule="exact"/>
              <w:jc w:val="both"/>
              <w:rPr>
                <w:rFonts w:hint="eastAsia" w:ascii="仿宋_GB2312" w:hAnsi="仿宋" w:eastAsia="仿宋_GB2312"/>
                <w:kern w:val="2"/>
                <w:sz w:val="32"/>
                <w:szCs w:val="32"/>
                <w:lang w:eastAsia="zh-CN" w:bidi="ar-SA"/>
              </w:rPr>
            </w:pPr>
            <w:r>
              <w:rPr>
                <w:rFonts w:hint="eastAsia" w:ascii="仿宋_GB2312" w:hAnsi="仿宋" w:eastAsia="仿宋_GB2312"/>
                <w:kern w:val="2"/>
                <w:sz w:val="32"/>
                <w:szCs w:val="32"/>
                <w:lang w:eastAsia="zh-CN" w:bidi="ar-SA"/>
              </w:rPr>
              <w:t>资格要求</w:t>
            </w:r>
          </w:p>
        </w:tc>
        <w:tc>
          <w:tcPr>
            <w:tcW w:w="8363" w:type="dxa"/>
            <w:vAlign w:val="center"/>
          </w:tcPr>
          <w:p w14:paraId="4F9B98C4">
            <w:pPr>
              <w:numPr>
                <w:ilvl w:val="-1"/>
                <w:numId w:val="0"/>
              </w:numPr>
              <w:adjustRightInd w:val="0"/>
              <w:snapToGrid w:val="0"/>
              <w:spacing w:after="0" w:line="360" w:lineRule="auto"/>
              <w:rPr>
                <w:rFonts w:hint="eastAsia" w:ascii="仿宋_GB2312" w:hAnsi="仿宋" w:eastAsia="仿宋_GB2312"/>
                <w:kern w:val="2"/>
                <w:sz w:val="32"/>
                <w:szCs w:val="32"/>
                <w:lang w:eastAsia="zh-CN" w:bidi="ar-SA"/>
              </w:rPr>
            </w:pPr>
            <w:r>
              <w:rPr>
                <w:rFonts w:hint="eastAsia" w:ascii="宋体" w:hAnsi="宋体" w:eastAsia="Courier New" w:cs="Courier New"/>
                <w:sz w:val="24"/>
                <w:lang w:val="en-US" w:eastAsia="zh-CN"/>
              </w:rPr>
              <w:t>1.营业执照经营范围需包含</w:t>
            </w:r>
            <w:r>
              <w:rPr>
                <w:rFonts w:hint="eastAsia" w:ascii="宋体" w:hAnsi="宋体" w:cs="Courier New"/>
                <w:sz w:val="24"/>
                <w:lang w:val="en-US" w:eastAsia="zh-CN"/>
              </w:rPr>
              <w:t>仪器设备维修</w:t>
            </w:r>
            <w:r>
              <w:rPr>
                <w:rFonts w:hint="eastAsia" w:ascii="宋体" w:hAnsi="宋体" w:eastAsia="Courier New" w:cs="Courier New"/>
                <w:sz w:val="24"/>
                <w:lang w:val="en-US" w:eastAsia="zh-CN"/>
              </w:rPr>
              <w:t>。</w:t>
            </w:r>
          </w:p>
        </w:tc>
      </w:tr>
      <w:tr w14:paraId="7CE6E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45" w:type="dxa"/>
            <w:vAlign w:val="center"/>
          </w:tcPr>
          <w:p w14:paraId="09EC5A41">
            <w:pPr>
              <w:spacing w:line="560" w:lineRule="exact"/>
              <w:jc w:val="both"/>
              <w:rPr>
                <w:rFonts w:hint="eastAsia" w:ascii="仿宋_GB2312" w:hAnsi="仿宋" w:eastAsia="仿宋_GB2312"/>
                <w:kern w:val="2"/>
                <w:sz w:val="32"/>
                <w:szCs w:val="32"/>
                <w:lang w:eastAsia="zh-CN" w:bidi="ar-SA"/>
              </w:rPr>
            </w:pPr>
            <w:r>
              <w:rPr>
                <w:rFonts w:hint="eastAsia" w:ascii="仿宋_GB2312" w:hAnsi="仿宋" w:eastAsia="仿宋_GB2312"/>
                <w:kern w:val="2"/>
                <w:sz w:val="32"/>
                <w:szCs w:val="32"/>
                <w:lang w:eastAsia="zh-CN" w:bidi="ar-SA"/>
              </w:rPr>
              <w:t>采购项目技术要求</w:t>
            </w:r>
          </w:p>
        </w:tc>
        <w:tc>
          <w:tcPr>
            <w:tcW w:w="8363" w:type="dxa"/>
            <w:vAlign w:val="center"/>
          </w:tcPr>
          <w:p w14:paraId="15053926">
            <w:pPr>
              <w:numPr>
                <w:ilvl w:val="0"/>
                <w:numId w:val="0"/>
              </w:numPr>
              <w:adjustRightInd w:val="0"/>
              <w:snapToGrid w:val="0"/>
              <w:spacing w:line="360" w:lineRule="auto"/>
              <w:ind w:leftChars="0"/>
              <w:outlineLvl w:val="0"/>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一、需求内容</w:t>
            </w:r>
          </w:p>
          <w:p w14:paraId="0ED0AB9F">
            <w:pPr>
              <w:numPr>
                <w:ilvl w:val="-1"/>
                <w:numId w:val="0"/>
              </w:numPr>
              <w:adjustRightInd w:val="0"/>
              <w:snapToGrid w:val="0"/>
              <w:spacing w:after="60" w:line="360" w:lineRule="auto"/>
              <w:ind w:left="0" w:leftChars="0"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供货商提供的</w:t>
            </w:r>
            <w:r>
              <w:rPr>
                <w:rFonts w:hint="eastAsia" w:cs="Times New Roman"/>
                <w:sz w:val="24"/>
                <w:lang w:val="en-US" w:eastAsia="zh-CN"/>
              </w:rPr>
              <w:t>配件</w:t>
            </w:r>
            <w:r>
              <w:rPr>
                <w:rFonts w:hint="eastAsia" w:ascii="Times New Roman" w:hAnsi="Times New Roman" w:cs="Times New Roman"/>
                <w:sz w:val="24"/>
                <w:lang w:val="en-US" w:eastAsia="zh-CN"/>
              </w:rPr>
              <w:t>品牌、规格型号必须为本项目采购清单中所列品牌、规格型号，供货商需严格按照采购清单要求的品牌、规格型号供货，采购清单详见下表：</w:t>
            </w:r>
          </w:p>
          <w:tbl>
            <w:tblPr>
              <w:tblStyle w:val="7"/>
              <w:tblW w:w="8147" w:type="dxa"/>
              <w:jc w:val="center"/>
              <w:tblLayout w:type="fixed"/>
              <w:tblCellMar>
                <w:top w:w="0" w:type="dxa"/>
                <w:left w:w="108" w:type="dxa"/>
                <w:bottom w:w="0" w:type="dxa"/>
                <w:right w:w="108" w:type="dxa"/>
              </w:tblCellMar>
            </w:tblPr>
            <w:tblGrid>
              <w:gridCol w:w="444"/>
              <w:gridCol w:w="1430"/>
              <w:gridCol w:w="1155"/>
              <w:gridCol w:w="3211"/>
              <w:gridCol w:w="448"/>
              <w:gridCol w:w="455"/>
              <w:gridCol w:w="1004"/>
            </w:tblGrid>
            <w:tr w14:paraId="6431D011">
              <w:tblPrEx>
                <w:tblCellMar>
                  <w:top w:w="0" w:type="dxa"/>
                  <w:left w:w="108" w:type="dxa"/>
                  <w:bottom w:w="0" w:type="dxa"/>
                  <w:right w:w="108" w:type="dxa"/>
                </w:tblCellMar>
              </w:tblPrEx>
              <w:trPr>
                <w:trHeight w:val="0" w:hRule="atLeast"/>
                <w:tblHeader/>
                <w:jc w:val="center"/>
              </w:trPr>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14:paraId="5F266098">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序号</w:t>
                  </w:r>
                </w:p>
              </w:tc>
              <w:tc>
                <w:tcPr>
                  <w:tcW w:w="877" w:type="pct"/>
                  <w:tcBorders>
                    <w:top w:val="single" w:color="auto" w:sz="4" w:space="0"/>
                    <w:left w:val="nil"/>
                    <w:bottom w:val="single" w:color="auto" w:sz="4" w:space="0"/>
                    <w:right w:val="single" w:color="auto" w:sz="4" w:space="0"/>
                  </w:tcBorders>
                  <w:shd w:val="clear" w:color="auto" w:fill="auto"/>
                  <w:vAlign w:val="center"/>
                </w:tcPr>
                <w:p w14:paraId="704D9CA6">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名称</w:t>
                  </w:r>
                </w:p>
              </w:tc>
              <w:tc>
                <w:tcPr>
                  <w:tcW w:w="708" w:type="pct"/>
                  <w:tcBorders>
                    <w:top w:val="single" w:color="auto" w:sz="4" w:space="0"/>
                    <w:left w:val="nil"/>
                    <w:bottom w:val="single" w:color="auto" w:sz="4" w:space="0"/>
                    <w:right w:val="single" w:color="auto" w:sz="4" w:space="0"/>
                  </w:tcBorders>
                  <w:shd w:val="clear" w:color="auto" w:fill="auto"/>
                  <w:vAlign w:val="center"/>
                </w:tcPr>
                <w:p w14:paraId="05C4D88F">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品牌</w:t>
                  </w:r>
                </w:p>
              </w:tc>
              <w:tc>
                <w:tcPr>
                  <w:tcW w:w="1970" w:type="pct"/>
                  <w:tcBorders>
                    <w:top w:val="single" w:color="auto" w:sz="4" w:space="0"/>
                    <w:left w:val="nil"/>
                    <w:bottom w:val="single" w:color="auto" w:sz="4" w:space="0"/>
                    <w:right w:val="single" w:color="auto" w:sz="4" w:space="0"/>
                  </w:tcBorders>
                  <w:shd w:val="clear" w:color="auto" w:fill="auto"/>
                  <w:vAlign w:val="center"/>
                </w:tcPr>
                <w:p w14:paraId="35B77EDF">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规格型号</w:t>
                  </w:r>
                </w:p>
              </w:tc>
              <w:tc>
                <w:tcPr>
                  <w:tcW w:w="274" w:type="pct"/>
                  <w:tcBorders>
                    <w:top w:val="single" w:color="auto" w:sz="4" w:space="0"/>
                    <w:left w:val="nil"/>
                    <w:bottom w:val="single" w:color="auto" w:sz="4" w:space="0"/>
                    <w:right w:val="single" w:color="auto" w:sz="4" w:space="0"/>
                  </w:tcBorders>
                  <w:shd w:val="clear" w:color="auto" w:fill="auto"/>
                  <w:vAlign w:val="center"/>
                </w:tcPr>
                <w:p w14:paraId="5D4EF57A">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单位</w:t>
                  </w:r>
                </w:p>
              </w:tc>
              <w:tc>
                <w:tcPr>
                  <w:tcW w:w="279" w:type="pct"/>
                  <w:tcBorders>
                    <w:top w:val="single" w:color="auto" w:sz="4" w:space="0"/>
                    <w:left w:val="nil"/>
                    <w:bottom w:val="single" w:color="auto" w:sz="4" w:space="0"/>
                    <w:right w:val="single" w:color="auto" w:sz="4" w:space="0"/>
                  </w:tcBorders>
                  <w:shd w:val="clear" w:color="auto" w:fill="auto"/>
                  <w:vAlign w:val="center"/>
                </w:tcPr>
                <w:p w14:paraId="3A91879C">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数量</w:t>
                  </w:r>
                </w:p>
              </w:tc>
              <w:tc>
                <w:tcPr>
                  <w:tcW w:w="616" w:type="pct"/>
                  <w:tcBorders>
                    <w:top w:val="single" w:color="auto" w:sz="4" w:space="0"/>
                    <w:left w:val="nil"/>
                    <w:bottom w:val="single" w:color="auto" w:sz="4" w:space="0"/>
                    <w:right w:val="single" w:color="auto" w:sz="4" w:space="0"/>
                  </w:tcBorders>
                  <w:shd w:val="clear" w:color="auto" w:fill="auto"/>
                  <w:vAlign w:val="center"/>
                </w:tcPr>
                <w:p w14:paraId="638D7A1C">
                  <w:pPr>
                    <w:widowControl/>
                    <w:numPr>
                      <w:ilvl w:val="-1"/>
                      <w:numId w:val="0"/>
                    </w:numPr>
                    <w:jc w:val="center"/>
                    <w:rPr>
                      <w:rFonts w:hint="default"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备注</w:t>
                  </w:r>
                </w:p>
              </w:tc>
            </w:tr>
            <w:tr w14:paraId="33A37556">
              <w:tblPrEx>
                <w:tblCellMar>
                  <w:top w:w="0" w:type="dxa"/>
                  <w:left w:w="108" w:type="dxa"/>
                  <w:bottom w:w="0" w:type="dxa"/>
                  <w:right w:w="108" w:type="dxa"/>
                </w:tblCellMar>
              </w:tblPrEx>
              <w:trPr>
                <w:trHeight w:val="486" w:hRule="atLeast"/>
                <w:jc w:val="center"/>
              </w:trPr>
              <w:tc>
                <w:tcPr>
                  <w:tcW w:w="272" w:type="pct"/>
                  <w:tcBorders>
                    <w:top w:val="nil"/>
                    <w:left w:val="single" w:color="auto" w:sz="4" w:space="0"/>
                    <w:bottom w:val="single" w:color="auto" w:sz="4" w:space="0"/>
                    <w:right w:val="single" w:color="auto" w:sz="4" w:space="0"/>
                  </w:tcBorders>
                  <w:shd w:val="clear" w:color="auto" w:fill="auto"/>
                  <w:vAlign w:val="center"/>
                </w:tcPr>
                <w:p w14:paraId="4D1F4333">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1</w:t>
                  </w:r>
                </w:p>
              </w:tc>
              <w:tc>
                <w:tcPr>
                  <w:tcW w:w="877" w:type="pct"/>
                  <w:tcBorders>
                    <w:top w:val="nil"/>
                    <w:left w:val="single" w:color="auto" w:sz="4" w:space="0"/>
                    <w:bottom w:val="single" w:color="auto" w:sz="4" w:space="0"/>
                    <w:right w:val="single" w:color="auto" w:sz="4" w:space="0"/>
                  </w:tcBorders>
                  <w:shd w:val="clear" w:color="auto" w:fill="auto"/>
                  <w:vAlign w:val="center"/>
                </w:tcPr>
                <w:p w14:paraId="022C8733">
                  <w:pPr>
                    <w:widowControl/>
                    <w:numPr>
                      <w:ilvl w:val="-1"/>
                      <w:numId w:val="0"/>
                    </w:numPr>
                    <w:ind w:left="0" w:leftChars="0" w:firstLine="0" w:firstLineChars="0"/>
                    <w:jc w:val="center"/>
                    <w:rPr>
                      <w:rFonts w:hint="default"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RF控制板</w:t>
                  </w:r>
                </w:p>
              </w:tc>
              <w:tc>
                <w:tcPr>
                  <w:tcW w:w="708" w:type="pct"/>
                  <w:tcBorders>
                    <w:top w:val="nil"/>
                    <w:left w:val="single" w:color="auto" w:sz="4" w:space="0"/>
                    <w:bottom w:val="single" w:color="auto" w:sz="4" w:space="0"/>
                    <w:right w:val="single" w:color="auto" w:sz="4" w:space="0"/>
                  </w:tcBorders>
                  <w:shd w:val="clear" w:color="auto" w:fill="auto"/>
                  <w:vAlign w:val="center"/>
                </w:tcPr>
                <w:p w14:paraId="1F6E9BA4">
                  <w:pPr>
                    <w:widowControl/>
                    <w:numPr>
                      <w:ilvl w:val="-1"/>
                      <w:numId w:val="0"/>
                    </w:numPr>
                    <w:ind w:left="0" w:leftChars="0" w:firstLine="0" w:firstLineChars="0"/>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PE</w:t>
                  </w:r>
                </w:p>
              </w:tc>
              <w:tc>
                <w:tcPr>
                  <w:tcW w:w="1970" w:type="pct"/>
                  <w:tcBorders>
                    <w:top w:val="nil"/>
                    <w:left w:val="nil"/>
                    <w:bottom w:val="single" w:color="auto" w:sz="4" w:space="0"/>
                    <w:right w:val="single" w:color="auto" w:sz="4" w:space="0"/>
                  </w:tcBorders>
                  <w:shd w:val="clear" w:color="auto" w:fill="auto"/>
                  <w:vAlign w:val="center"/>
                </w:tcPr>
                <w:p w14:paraId="6B204E9C">
                  <w:pPr>
                    <w:widowControl/>
                    <w:numPr>
                      <w:ilvl w:val="-1"/>
                      <w:numId w:val="0"/>
                    </w:numPr>
                    <w:ind w:left="0" w:leftChars="0" w:firstLine="0" w:firstLineChars="0"/>
                    <w:jc w:val="center"/>
                    <w:rPr>
                      <w:rFonts w:hint="default"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适配PE的电感耦合等离子发射光谱仪550型</w:t>
                  </w:r>
                </w:p>
              </w:tc>
              <w:tc>
                <w:tcPr>
                  <w:tcW w:w="274" w:type="pct"/>
                  <w:tcBorders>
                    <w:top w:val="nil"/>
                    <w:left w:val="nil"/>
                    <w:bottom w:val="single" w:color="auto" w:sz="4" w:space="0"/>
                    <w:right w:val="single" w:color="auto" w:sz="4" w:space="0"/>
                  </w:tcBorders>
                  <w:shd w:val="clear" w:color="auto" w:fill="auto"/>
                  <w:vAlign w:val="center"/>
                </w:tcPr>
                <w:p w14:paraId="79447A16">
                  <w:pPr>
                    <w:widowControl/>
                    <w:numPr>
                      <w:ilvl w:val="-1"/>
                      <w:numId w:val="0"/>
                    </w:numPr>
                    <w:ind w:left="0" w:leftChars="0" w:firstLine="0" w:firstLineChars="0"/>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张</w:t>
                  </w:r>
                </w:p>
              </w:tc>
              <w:tc>
                <w:tcPr>
                  <w:tcW w:w="279" w:type="pct"/>
                  <w:tcBorders>
                    <w:top w:val="nil"/>
                    <w:left w:val="nil"/>
                    <w:bottom w:val="single" w:color="auto" w:sz="4" w:space="0"/>
                    <w:right w:val="single" w:color="auto" w:sz="4" w:space="0"/>
                  </w:tcBorders>
                  <w:shd w:val="clear" w:color="auto" w:fill="auto"/>
                  <w:vAlign w:val="center"/>
                </w:tcPr>
                <w:p w14:paraId="6DB1E595">
                  <w:pPr>
                    <w:widowControl/>
                    <w:numPr>
                      <w:ilvl w:val="-1"/>
                      <w:numId w:val="0"/>
                    </w:numPr>
                    <w:ind w:left="0" w:leftChars="0" w:firstLine="0" w:firstLineChars="0"/>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1</w:t>
                  </w:r>
                </w:p>
              </w:tc>
              <w:tc>
                <w:tcPr>
                  <w:tcW w:w="616" w:type="pct"/>
                  <w:tcBorders>
                    <w:top w:val="nil"/>
                    <w:left w:val="nil"/>
                    <w:bottom w:val="single" w:color="auto" w:sz="4" w:space="0"/>
                    <w:right w:val="single" w:color="auto" w:sz="4" w:space="0"/>
                  </w:tcBorders>
                  <w:shd w:val="clear" w:color="auto" w:fill="auto"/>
                  <w:vAlign w:val="center"/>
                </w:tcPr>
                <w:p w14:paraId="719B0D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857DF76">
              <w:tblPrEx>
                <w:tblCellMar>
                  <w:top w:w="0" w:type="dxa"/>
                  <w:left w:w="108" w:type="dxa"/>
                  <w:bottom w:w="0" w:type="dxa"/>
                  <w:right w:w="108" w:type="dxa"/>
                </w:tblCellMar>
              </w:tblPrEx>
              <w:trPr>
                <w:trHeight w:val="0" w:hRule="atLeast"/>
                <w:jc w:val="center"/>
              </w:trPr>
              <w:tc>
                <w:tcPr>
                  <w:tcW w:w="272" w:type="pct"/>
                  <w:tcBorders>
                    <w:top w:val="single" w:color="auto" w:sz="4" w:space="0"/>
                    <w:left w:val="single" w:color="auto" w:sz="4" w:space="0"/>
                    <w:bottom w:val="single" w:color="auto" w:sz="4" w:space="0"/>
                    <w:right w:val="single" w:color="auto" w:sz="4" w:space="0"/>
                  </w:tcBorders>
                  <w:shd w:val="clear" w:color="auto" w:fill="auto"/>
                  <w:vAlign w:val="center"/>
                </w:tcPr>
                <w:p w14:paraId="35FED45E">
                  <w:pPr>
                    <w:widowControl/>
                    <w:numPr>
                      <w:ilvl w:val="-1"/>
                      <w:numId w:val="0"/>
                    </w:numPr>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2</w:t>
                  </w:r>
                </w:p>
              </w:tc>
              <w:tc>
                <w:tcPr>
                  <w:tcW w:w="877" w:type="pct"/>
                  <w:tcBorders>
                    <w:top w:val="single" w:color="auto" w:sz="4" w:space="0"/>
                    <w:left w:val="single" w:color="auto" w:sz="4" w:space="0"/>
                    <w:bottom w:val="single" w:color="auto" w:sz="4" w:space="0"/>
                    <w:right w:val="single" w:color="auto" w:sz="4" w:space="0"/>
                  </w:tcBorders>
                  <w:shd w:val="clear" w:color="auto" w:fill="auto"/>
                  <w:vAlign w:val="center"/>
                </w:tcPr>
                <w:p w14:paraId="4AAB8ED3">
                  <w:pPr>
                    <w:widowControl/>
                    <w:numPr>
                      <w:ilvl w:val="-1"/>
                      <w:numId w:val="0"/>
                    </w:numPr>
                    <w:ind w:left="0" w:leftChars="0" w:firstLine="0" w:firstLineChars="0"/>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服务费</w:t>
                  </w:r>
                </w:p>
              </w:tc>
              <w:tc>
                <w:tcPr>
                  <w:tcW w:w="708" w:type="pct"/>
                  <w:tcBorders>
                    <w:top w:val="single" w:color="auto" w:sz="4" w:space="0"/>
                    <w:left w:val="single" w:color="auto" w:sz="4" w:space="0"/>
                    <w:bottom w:val="single" w:color="auto" w:sz="4" w:space="0"/>
                    <w:right w:val="single" w:color="auto" w:sz="4" w:space="0"/>
                  </w:tcBorders>
                  <w:shd w:val="clear" w:color="auto" w:fill="auto"/>
                  <w:vAlign w:val="center"/>
                </w:tcPr>
                <w:p w14:paraId="7931E7FB">
                  <w:pPr>
                    <w:widowControl/>
                    <w:numPr>
                      <w:ilvl w:val="-1"/>
                      <w:numId w:val="0"/>
                    </w:numPr>
                    <w:ind w:left="0" w:leftChars="0" w:firstLine="0" w:firstLineChars="0"/>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w:t>
                  </w:r>
                </w:p>
              </w:tc>
              <w:tc>
                <w:tcPr>
                  <w:tcW w:w="1970" w:type="pct"/>
                  <w:tcBorders>
                    <w:top w:val="single" w:color="auto" w:sz="4" w:space="0"/>
                    <w:left w:val="single" w:color="auto" w:sz="4" w:space="0"/>
                    <w:bottom w:val="single" w:color="auto" w:sz="4" w:space="0"/>
                    <w:right w:val="single" w:color="auto" w:sz="4" w:space="0"/>
                  </w:tcBorders>
                  <w:shd w:val="clear" w:color="auto" w:fill="auto"/>
                  <w:vAlign w:val="center"/>
                </w:tcPr>
                <w:p w14:paraId="1DD8D5EC">
                  <w:pPr>
                    <w:widowControl/>
                    <w:numPr>
                      <w:ilvl w:val="-1"/>
                      <w:numId w:val="0"/>
                    </w:numPr>
                    <w:ind w:left="0" w:leftChars="0" w:firstLine="0" w:firstLineChars="0"/>
                    <w:jc w:val="center"/>
                    <w:rPr>
                      <w:rFonts w:hint="default"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包含前期的检查费、安装费及调试费用</w:t>
                  </w:r>
                </w:p>
              </w:tc>
              <w:tc>
                <w:tcPr>
                  <w:tcW w:w="274" w:type="pct"/>
                  <w:tcBorders>
                    <w:top w:val="single" w:color="auto" w:sz="4" w:space="0"/>
                    <w:left w:val="single" w:color="auto" w:sz="4" w:space="0"/>
                    <w:bottom w:val="single" w:color="auto" w:sz="4" w:space="0"/>
                    <w:right w:val="single" w:color="auto" w:sz="4" w:space="0"/>
                  </w:tcBorders>
                  <w:shd w:val="clear" w:color="auto" w:fill="auto"/>
                  <w:vAlign w:val="center"/>
                </w:tcPr>
                <w:p w14:paraId="3E034291">
                  <w:pPr>
                    <w:widowControl/>
                    <w:numPr>
                      <w:ilvl w:val="-1"/>
                      <w:numId w:val="0"/>
                    </w:numPr>
                    <w:ind w:left="0" w:leftChars="0" w:firstLine="0" w:firstLineChars="0"/>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项</w:t>
                  </w:r>
                </w:p>
              </w:tc>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6E941398">
                  <w:pPr>
                    <w:widowControl/>
                    <w:numPr>
                      <w:ilvl w:val="-1"/>
                      <w:numId w:val="0"/>
                    </w:numPr>
                    <w:ind w:left="0" w:leftChars="0" w:firstLine="0" w:firstLineChars="0"/>
                    <w:jc w:val="center"/>
                    <w:rPr>
                      <w:rFonts w:hint="eastAsia" w:ascii="仿宋" w:hAnsi="仿宋" w:eastAsia="仿宋" w:cs="仿宋"/>
                      <w:b w:val="0"/>
                      <w:bCs w:val="0"/>
                      <w:snapToGrid w:val="0"/>
                      <w:color w:val="000000"/>
                      <w:kern w:val="0"/>
                      <w:sz w:val="24"/>
                      <w:szCs w:val="24"/>
                      <w:lang w:val="en-US" w:eastAsia="zh-CN" w:bidi="en-US"/>
                    </w:rPr>
                  </w:pPr>
                  <w:r>
                    <w:rPr>
                      <w:rFonts w:hint="eastAsia" w:ascii="仿宋" w:hAnsi="仿宋" w:eastAsia="仿宋" w:cs="仿宋"/>
                      <w:b w:val="0"/>
                      <w:bCs w:val="0"/>
                      <w:snapToGrid w:val="0"/>
                      <w:color w:val="000000"/>
                      <w:kern w:val="0"/>
                      <w:sz w:val="24"/>
                      <w:szCs w:val="24"/>
                      <w:lang w:val="en-US" w:eastAsia="zh-CN" w:bidi="en-US"/>
                    </w:rPr>
                    <w:t>1</w:t>
                  </w:r>
                </w:p>
              </w:tc>
              <w:tc>
                <w:tcPr>
                  <w:tcW w:w="616" w:type="pct"/>
                  <w:tcBorders>
                    <w:top w:val="single" w:color="auto" w:sz="4" w:space="0"/>
                    <w:left w:val="single" w:color="auto" w:sz="4" w:space="0"/>
                    <w:bottom w:val="single" w:color="auto" w:sz="4" w:space="0"/>
                    <w:right w:val="single" w:color="auto" w:sz="4" w:space="0"/>
                  </w:tcBorders>
                  <w:shd w:val="clear" w:color="auto" w:fill="auto"/>
                  <w:vAlign w:val="center"/>
                </w:tcPr>
                <w:p w14:paraId="1283A6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7EA8D019">
            <w:pPr>
              <w:adjustRightInd w:val="0"/>
              <w:snapToGrid w:val="0"/>
              <w:spacing w:line="360" w:lineRule="auto"/>
              <w:jc w:val="left"/>
              <w:outlineLvl w:val="0"/>
              <w:rPr>
                <w:rFonts w:hint="eastAsia" w:ascii="黑体" w:hAnsi="黑体" w:eastAsia="黑体" w:cs="黑体"/>
                <w:sz w:val="28"/>
                <w:szCs w:val="28"/>
              </w:rPr>
            </w:pPr>
            <w:r>
              <w:rPr>
                <w:rFonts w:hint="eastAsia" w:ascii="黑体" w:hAnsi="黑体" w:eastAsia="黑体" w:cs="黑体"/>
                <w:b w:val="0"/>
                <w:bCs w:val="0"/>
                <w:sz w:val="28"/>
                <w:szCs w:val="28"/>
                <w:lang w:val="en-US" w:eastAsia="zh-CN"/>
              </w:rPr>
              <w:t>二、配件</w:t>
            </w:r>
            <w:r>
              <w:rPr>
                <w:rFonts w:hint="eastAsia" w:ascii="黑体" w:hAnsi="黑体" w:eastAsia="黑体" w:cs="黑体"/>
                <w:b w:val="0"/>
                <w:bCs w:val="0"/>
                <w:sz w:val="28"/>
                <w:szCs w:val="28"/>
              </w:rPr>
              <w:t>技术要求</w:t>
            </w:r>
          </w:p>
          <w:p w14:paraId="075C6E78">
            <w:pPr>
              <w:adjustRightInd w:val="0"/>
              <w:snapToGrid w:val="0"/>
              <w:spacing w:after="78" w:line="360" w:lineRule="auto"/>
              <w:ind w:firstLine="480" w:firstLineChars="200"/>
              <w:outlineLvl w:val="2"/>
              <w:rPr>
                <w:rFonts w:ascii="宋体" w:hAnsi="宋体" w:cs="Courier New"/>
                <w:sz w:val="24"/>
              </w:rPr>
            </w:pPr>
            <w:r>
              <w:rPr>
                <w:rFonts w:hint="eastAsia" w:ascii="宋体" w:hAnsi="宋体" w:cs="Courier New"/>
                <w:sz w:val="24"/>
              </w:rPr>
              <w:t>1</w:t>
            </w:r>
            <w:r>
              <w:rPr>
                <w:rFonts w:hint="eastAsia" w:ascii="宋体" w:hAnsi="宋体" w:cs="Courier New"/>
                <w:sz w:val="24"/>
                <w:lang w:val="en-US" w:eastAsia="zh-CN"/>
              </w:rPr>
              <w:t>.</w:t>
            </w:r>
            <w:r>
              <w:rPr>
                <w:rFonts w:hint="eastAsia" w:ascii="宋体" w:hAnsi="宋体" w:cs="Courier New"/>
                <w:sz w:val="24"/>
              </w:rPr>
              <w:t>供货商负责</w:t>
            </w:r>
            <w:r>
              <w:rPr>
                <w:rFonts w:hint="eastAsia" w:ascii="宋体" w:hAnsi="宋体" w:cs="Courier New"/>
                <w:sz w:val="24"/>
                <w:lang w:val="en-US" w:eastAsia="zh-CN"/>
              </w:rPr>
              <w:t>采购文件</w:t>
            </w:r>
            <w:r>
              <w:rPr>
                <w:rFonts w:hint="eastAsia" w:ascii="宋体" w:hAnsi="宋体" w:cs="Courier New"/>
                <w:sz w:val="24"/>
              </w:rPr>
              <w:t>要求的一切事宜及责任，包括</w:t>
            </w:r>
            <w:r>
              <w:rPr>
                <w:rFonts w:hint="eastAsia" w:ascii="宋体" w:hAnsi="宋体" w:eastAsia="宋体" w:cs="Courier New"/>
                <w:sz w:val="24"/>
                <w:lang w:val="en-US" w:eastAsia="zh-CN"/>
              </w:rPr>
              <w:t>配件</w:t>
            </w:r>
            <w:r>
              <w:rPr>
                <w:rFonts w:hint="eastAsia" w:ascii="宋体" w:hAnsi="宋体" w:cs="Courier New"/>
                <w:sz w:val="24"/>
              </w:rPr>
              <w:t>供货、</w:t>
            </w:r>
            <w:r>
              <w:rPr>
                <w:rFonts w:hint="eastAsia" w:ascii="宋体" w:hAnsi="宋体" w:eastAsia="宋体" w:cs="Courier New"/>
                <w:sz w:val="24"/>
                <w:lang w:val="en-US" w:eastAsia="zh-CN"/>
              </w:rPr>
              <w:t>安装、</w:t>
            </w:r>
            <w:r>
              <w:rPr>
                <w:rFonts w:hint="eastAsia" w:ascii="宋体" w:hAnsi="宋体" w:cs="Courier New"/>
                <w:sz w:val="24"/>
              </w:rPr>
              <w:t xml:space="preserve">运输、仓储保管、验收及相关服务等。 </w:t>
            </w:r>
          </w:p>
          <w:p w14:paraId="6C0201B4">
            <w:pPr>
              <w:adjustRightInd w:val="0"/>
              <w:snapToGrid w:val="0"/>
              <w:spacing w:after="78" w:line="360" w:lineRule="auto"/>
              <w:ind w:firstLine="480" w:firstLineChars="200"/>
              <w:outlineLvl w:val="2"/>
              <w:rPr>
                <w:rFonts w:ascii="宋体" w:hAnsi="宋体" w:cs="Courier New"/>
                <w:sz w:val="24"/>
              </w:rPr>
            </w:pPr>
            <w:r>
              <w:rPr>
                <w:rFonts w:hint="eastAsia" w:ascii="宋体" w:hAnsi="宋体" w:cs="Courier New"/>
                <w:sz w:val="24"/>
              </w:rPr>
              <w:t>2</w:t>
            </w:r>
            <w:r>
              <w:rPr>
                <w:rFonts w:hint="eastAsia" w:ascii="宋体" w:hAnsi="宋体" w:cs="Courier New"/>
                <w:sz w:val="24"/>
                <w:lang w:val="en-US" w:eastAsia="zh-CN"/>
              </w:rPr>
              <w:t>.</w:t>
            </w:r>
            <w:r>
              <w:rPr>
                <w:rFonts w:hint="eastAsia" w:ascii="宋体" w:hAnsi="宋体" w:cs="Courier New"/>
                <w:sz w:val="24"/>
              </w:rPr>
              <w:t>供应商须保证</w:t>
            </w:r>
            <w:r>
              <w:rPr>
                <w:rFonts w:hint="eastAsia" w:ascii="宋体" w:hAnsi="宋体" w:cs="Courier New"/>
                <w:sz w:val="24"/>
                <w:lang w:val="en-US" w:eastAsia="zh-CN"/>
              </w:rPr>
              <w:t>所提供</w:t>
            </w:r>
            <w:r>
              <w:rPr>
                <w:rFonts w:hint="eastAsia" w:ascii="宋体" w:hAnsi="宋体" w:eastAsia="宋体" w:cs="Courier New"/>
                <w:sz w:val="24"/>
                <w:lang w:val="en-US" w:eastAsia="zh-CN"/>
              </w:rPr>
              <w:t>配件</w:t>
            </w:r>
            <w:r>
              <w:rPr>
                <w:rFonts w:hint="eastAsia" w:ascii="宋体" w:hAnsi="宋体" w:cs="Courier New"/>
                <w:sz w:val="24"/>
              </w:rPr>
              <w:t>是原装、全新的、符合质量标准的</w:t>
            </w:r>
            <w:r>
              <w:rPr>
                <w:rFonts w:hint="eastAsia" w:ascii="宋体" w:hAnsi="宋体" w:eastAsia="宋体" w:cs="Courier New"/>
                <w:sz w:val="24"/>
                <w:lang w:val="en-US" w:eastAsia="zh-CN"/>
              </w:rPr>
              <w:t>配件</w:t>
            </w:r>
            <w:r>
              <w:rPr>
                <w:rFonts w:hint="eastAsia" w:ascii="宋体" w:hAnsi="宋体" w:cs="Courier New"/>
                <w:sz w:val="24"/>
              </w:rPr>
              <w:t>，不得以旧货翻新充数，并按有关要求进行包装及装运。</w:t>
            </w:r>
          </w:p>
          <w:p w14:paraId="5C3BEAFD">
            <w:pPr>
              <w:pStyle w:val="6"/>
              <w:numPr>
                <w:ilvl w:val="-1"/>
                <w:numId w:val="0"/>
              </w:numPr>
              <w:adjustRightInd w:val="0"/>
              <w:snapToGrid w:val="0"/>
              <w:spacing w:line="360" w:lineRule="auto"/>
              <w:ind w:left="0" w:leftChars="0" w:firstLine="480" w:firstLineChars="200"/>
              <w:rPr>
                <w:rFonts w:hint="eastAsia" w:ascii="宋体" w:hAnsi="宋体" w:eastAsia="Courier New" w:cs="Courier New"/>
                <w:color w:val="000000"/>
                <w:kern w:val="0"/>
                <w:sz w:val="24"/>
                <w:szCs w:val="24"/>
                <w:lang w:val="en-US" w:eastAsia="en-US" w:bidi="en-US"/>
              </w:rPr>
            </w:pPr>
            <w:r>
              <w:rPr>
                <w:rFonts w:hint="eastAsia" w:ascii="宋体" w:hAnsi="宋体" w:cs="Courier New"/>
                <w:sz w:val="24"/>
                <w:lang w:val="en-US" w:eastAsia="zh-CN"/>
              </w:rPr>
              <w:t>3</w:t>
            </w:r>
            <w:r>
              <w:rPr>
                <w:rFonts w:hint="eastAsia" w:ascii="宋体" w:hAnsi="宋体" w:eastAsia="Courier New" w:cs="Courier New"/>
                <w:color w:val="000000"/>
                <w:kern w:val="0"/>
                <w:sz w:val="24"/>
                <w:szCs w:val="24"/>
                <w:lang w:val="en-US" w:eastAsia="zh-CN" w:bidi="en-US"/>
              </w:rPr>
              <w:t>.</w:t>
            </w:r>
            <w:r>
              <w:rPr>
                <w:rFonts w:hint="eastAsia" w:ascii="宋体" w:hAnsi="宋体" w:eastAsia="Courier New" w:cs="Courier New"/>
                <w:color w:val="000000"/>
                <w:kern w:val="0"/>
                <w:sz w:val="24"/>
                <w:szCs w:val="24"/>
                <w:lang w:val="en-US" w:eastAsia="en-US" w:bidi="en-US"/>
              </w:rPr>
              <w:t>供应商必须负责将</w:t>
            </w:r>
            <w:r>
              <w:rPr>
                <w:rFonts w:hint="eastAsia" w:ascii="宋体" w:hAnsi="宋体" w:eastAsia="宋体" w:cs="Courier New"/>
                <w:color w:val="000000"/>
                <w:kern w:val="0"/>
                <w:sz w:val="24"/>
                <w:szCs w:val="24"/>
                <w:lang w:val="en-US" w:eastAsia="zh-CN" w:bidi="en-US"/>
              </w:rPr>
              <w:t>配件</w:t>
            </w:r>
            <w:r>
              <w:rPr>
                <w:rFonts w:hint="eastAsia" w:ascii="宋体" w:hAnsi="宋体" w:eastAsia="Courier New" w:cs="Courier New"/>
                <w:color w:val="000000"/>
                <w:kern w:val="0"/>
                <w:sz w:val="24"/>
                <w:szCs w:val="24"/>
                <w:lang w:val="en-US" w:eastAsia="en-US" w:bidi="en-US"/>
              </w:rPr>
              <w:t>送至</w:t>
            </w:r>
            <w:r>
              <w:rPr>
                <w:rFonts w:hint="eastAsia" w:ascii="宋体" w:hAnsi="宋体" w:eastAsia="Courier New" w:cs="Courier New"/>
                <w:color w:val="000000"/>
                <w:kern w:val="0"/>
                <w:sz w:val="24"/>
                <w:szCs w:val="24"/>
                <w:lang w:val="en-US" w:eastAsia="zh-CN" w:bidi="en-US"/>
              </w:rPr>
              <w:t>采购人</w:t>
            </w:r>
            <w:r>
              <w:rPr>
                <w:rFonts w:hint="eastAsia" w:ascii="宋体" w:hAnsi="宋体" w:eastAsia="Courier New" w:cs="Courier New"/>
                <w:color w:val="000000"/>
                <w:kern w:val="0"/>
                <w:sz w:val="24"/>
                <w:szCs w:val="24"/>
                <w:lang w:val="en-US" w:eastAsia="en-US" w:bidi="en-US"/>
              </w:rPr>
              <w:t>指定的地址，所产生的所有费用由供货商承担。合同签订后20个日历日内，完成</w:t>
            </w:r>
            <w:r>
              <w:rPr>
                <w:rFonts w:hint="eastAsia" w:ascii="宋体" w:hAnsi="宋体" w:eastAsia="宋体" w:cs="Courier New"/>
                <w:color w:val="000000"/>
                <w:kern w:val="0"/>
                <w:sz w:val="24"/>
                <w:szCs w:val="24"/>
                <w:lang w:val="en-US" w:eastAsia="zh-CN" w:bidi="en-US"/>
              </w:rPr>
              <w:t>配件</w:t>
            </w:r>
            <w:r>
              <w:rPr>
                <w:rFonts w:hint="eastAsia" w:ascii="宋体" w:hAnsi="宋体" w:eastAsia="Courier New" w:cs="Courier New"/>
                <w:color w:val="000000"/>
                <w:kern w:val="0"/>
                <w:sz w:val="24"/>
                <w:szCs w:val="24"/>
                <w:lang w:val="en-US" w:eastAsia="en-US" w:bidi="en-US"/>
              </w:rPr>
              <w:t>的供货、安装、调试。</w:t>
            </w:r>
          </w:p>
          <w:p w14:paraId="5DB4148E">
            <w:pPr>
              <w:pStyle w:val="6"/>
              <w:numPr>
                <w:ilvl w:val="-1"/>
                <w:numId w:val="0"/>
              </w:numPr>
              <w:adjustRightInd w:val="0"/>
              <w:snapToGrid w:val="0"/>
              <w:spacing w:line="360" w:lineRule="auto"/>
              <w:ind w:left="0" w:leftChars="0" w:firstLine="480" w:firstLineChars="200"/>
              <w:rPr>
                <w:rFonts w:hint="eastAsia" w:ascii="仿宋_GB2312" w:hAnsi="仿宋" w:eastAsia="仿宋_GB2312"/>
                <w:kern w:val="2"/>
                <w:sz w:val="32"/>
                <w:szCs w:val="32"/>
                <w:lang w:eastAsia="zh-CN" w:bidi="ar-SA"/>
              </w:rPr>
            </w:pPr>
            <w:r>
              <w:rPr>
                <w:rFonts w:hint="eastAsia" w:ascii="宋体" w:hAnsi="宋体" w:eastAsia="Courier New" w:cs="Courier New"/>
                <w:color w:val="000000"/>
                <w:kern w:val="0"/>
                <w:sz w:val="24"/>
                <w:szCs w:val="24"/>
                <w:lang w:val="en-US" w:eastAsia="zh-CN" w:bidi="en-US"/>
              </w:rPr>
              <w:t>5.</w:t>
            </w:r>
            <w:r>
              <w:rPr>
                <w:rFonts w:hint="eastAsia" w:ascii="宋体" w:hAnsi="宋体" w:eastAsia="Courier New" w:cs="Courier New"/>
                <w:color w:val="000000"/>
                <w:kern w:val="0"/>
                <w:sz w:val="24"/>
                <w:szCs w:val="24"/>
                <w:lang w:val="en-US" w:eastAsia="en-US" w:bidi="en-US"/>
              </w:rPr>
              <w:t>验收按国家有关的规定、规范进行。</w:t>
            </w:r>
            <w:r>
              <w:rPr>
                <w:rFonts w:hint="eastAsia" w:ascii="宋体" w:hAnsi="宋体" w:eastAsia="宋体" w:cs="Courier New"/>
                <w:color w:val="000000"/>
                <w:kern w:val="0"/>
                <w:sz w:val="24"/>
                <w:szCs w:val="24"/>
                <w:lang w:val="en-US" w:eastAsia="zh-CN" w:bidi="en-US"/>
              </w:rPr>
              <w:t>配件</w:t>
            </w:r>
            <w:r>
              <w:rPr>
                <w:rFonts w:hint="eastAsia" w:ascii="宋体" w:hAnsi="宋体" w:eastAsia="Courier New" w:cs="Courier New"/>
                <w:color w:val="000000"/>
                <w:kern w:val="0"/>
                <w:sz w:val="24"/>
                <w:szCs w:val="24"/>
                <w:lang w:val="en-US" w:eastAsia="en-US" w:bidi="en-US"/>
              </w:rPr>
              <w:t>安装、调试完成后对供货商提供的</w:t>
            </w:r>
            <w:r>
              <w:rPr>
                <w:rFonts w:hint="eastAsia" w:ascii="宋体" w:hAnsi="宋体" w:eastAsia="宋体" w:cs="Courier New"/>
                <w:color w:val="000000"/>
                <w:kern w:val="0"/>
                <w:sz w:val="24"/>
                <w:szCs w:val="24"/>
                <w:lang w:val="en-US" w:eastAsia="zh-CN" w:bidi="en-US"/>
              </w:rPr>
              <w:t>配件</w:t>
            </w:r>
            <w:r>
              <w:rPr>
                <w:rFonts w:hint="eastAsia" w:ascii="宋体" w:hAnsi="宋体" w:eastAsia="Courier New" w:cs="Courier New"/>
                <w:color w:val="000000"/>
                <w:kern w:val="0"/>
                <w:sz w:val="24"/>
                <w:szCs w:val="24"/>
                <w:lang w:val="en-US" w:eastAsia="en-US" w:bidi="en-US"/>
              </w:rPr>
              <w:t>组织验收</w:t>
            </w:r>
            <w:r>
              <w:rPr>
                <w:rFonts w:hint="eastAsia" w:ascii="宋体" w:hAnsi="宋体" w:eastAsia="Courier New" w:cs="Courier New"/>
                <w:color w:val="000000"/>
                <w:kern w:val="0"/>
                <w:sz w:val="24"/>
                <w:szCs w:val="24"/>
                <w:lang w:val="en-US" w:eastAsia="zh-CN" w:bidi="en-US"/>
              </w:rPr>
              <w:t>。</w:t>
            </w:r>
          </w:p>
        </w:tc>
      </w:tr>
    </w:tbl>
    <w:p w14:paraId="4051AEF0">
      <w:pPr>
        <w:spacing w:line="560" w:lineRule="exact"/>
        <w:rPr>
          <w:rFonts w:hint="eastAsia" w:ascii="仿宋_GB2312" w:hAnsi="仿宋" w:eastAsia="仿宋_GB2312"/>
          <w:kern w:val="2"/>
          <w:sz w:val="32"/>
          <w:szCs w:val="32"/>
          <w:lang w:eastAsia="zh-CN" w:bidi="ar-SA"/>
        </w:rPr>
      </w:pPr>
      <w:r>
        <w:rPr>
          <w:rFonts w:hint="eastAsia" w:ascii="仿宋_GB2312" w:hAnsi="仿宋" w:eastAsia="仿宋_GB2312"/>
          <w:kern w:val="2"/>
          <w:sz w:val="32"/>
          <w:szCs w:val="32"/>
          <w:lang w:eastAsia="zh-CN" w:bidi="ar-SA"/>
        </w:rPr>
        <w:t>经办人:                    需求单位负责人:</w:t>
      </w:r>
    </w:p>
    <w:p w14:paraId="18B0F80B">
      <w:pPr>
        <w:spacing w:after="60" w:line="560" w:lineRule="exact"/>
        <w:ind w:firstLine="600" w:firstLineChars="200"/>
        <w:rPr>
          <w:rFonts w:hint="eastAsia" w:ascii="宋体" w:hAnsi="宋体" w:eastAsia="宋体"/>
          <w:sz w:val="30"/>
          <w:szCs w:val="30"/>
          <w:lang w:eastAsia="zh-CN"/>
        </w:rPr>
      </w:pPr>
    </w:p>
    <w:p w14:paraId="67FA0024">
      <w:pPr>
        <w:spacing w:after="60" w:line="560" w:lineRule="exact"/>
        <w:ind w:firstLine="4800" w:firstLineChars="1600"/>
        <w:rPr>
          <w:rFonts w:hint="default" w:ascii="宋体" w:hAnsi="宋体" w:eastAsia="宋体"/>
          <w:sz w:val="30"/>
          <w:szCs w:val="30"/>
          <w:lang w:val="en-US" w:eastAsia="zh-CN"/>
        </w:rPr>
      </w:pPr>
      <w:r>
        <w:rPr>
          <w:rFonts w:hint="eastAsia" w:ascii="宋体" w:hAnsi="宋体" w:eastAsia="宋体"/>
          <w:sz w:val="30"/>
          <w:szCs w:val="30"/>
          <w:lang w:eastAsia="zh-CN"/>
        </w:rPr>
        <w:t>日期:</w:t>
      </w:r>
      <w:r>
        <w:rPr>
          <w:rFonts w:hint="eastAsia" w:ascii="宋体" w:hAnsi="宋体" w:eastAsia="宋体"/>
          <w:sz w:val="30"/>
          <w:szCs w:val="30"/>
          <w:lang w:val="en-US" w:eastAsia="zh-CN"/>
        </w:rPr>
        <w:t>2026年6月26日</w:t>
      </w:r>
    </w:p>
    <w:sectPr>
      <w:headerReference r:id="rId3" w:type="default"/>
      <w:footerReference r:id="rId4" w:type="default"/>
      <w:pgSz w:w="11907" w:h="16840"/>
      <w:pgMar w:top="1417" w:right="1701" w:bottom="1417" w:left="1701" w:header="0" w:footer="66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70A3A">
    <w:pPr>
      <w:pStyle w:val="4"/>
      <w:jc w:val="center"/>
    </w:pPr>
    <w:r>
      <w:fldChar w:fldCharType="begin"/>
    </w:r>
    <w:r>
      <w:instrText xml:space="preserve"> PAGE   \* MERGEFORMAT </w:instrText>
    </w:r>
    <w:r>
      <w:fldChar w:fldCharType="separate"/>
    </w:r>
    <w:r>
      <w:rPr>
        <w:lang w:val="zh-CN"/>
      </w:rPr>
      <w:t>13</w:t>
    </w:r>
    <w:r>
      <w:rPr>
        <w:lang w:val="zh-CN"/>
      </w:rPr>
      <w:fldChar w:fldCharType="end"/>
    </w:r>
  </w:p>
  <w:p w14:paraId="73D031D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1569C">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BE"/>
    <w:rsid w:val="0003573F"/>
    <w:rsid w:val="000357E8"/>
    <w:rsid w:val="0004241F"/>
    <w:rsid w:val="000C65BB"/>
    <w:rsid w:val="000D0434"/>
    <w:rsid w:val="000E3C75"/>
    <w:rsid w:val="00146EB6"/>
    <w:rsid w:val="001506C4"/>
    <w:rsid w:val="001A3DAD"/>
    <w:rsid w:val="001C0B90"/>
    <w:rsid w:val="001E296A"/>
    <w:rsid w:val="00236152"/>
    <w:rsid w:val="00267DA3"/>
    <w:rsid w:val="00286C84"/>
    <w:rsid w:val="002B583F"/>
    <w:rsid w:val="002D1F2F"/>
    <w:rsid w:val="00307B0F"/>
    <w:rsid w:val="0037108B"/>
    <w:rsid w:val="003B0263"/>
    <w:rsid w:val="003C2265"/>
    <w:rsid w:val="003C406E"/>
    <w:rsid w:val="003C71FE"/>
    <w:rsid w:val="003F60CA"/>
    <w:rsid w:val="004363F5"/>
    <w:rsid w:val="00480728"/>
    <w:rsid w:val="004958CF"/>
    <w:rsid w:val="004A6626"/>
    <w:rsid w:val="004E5A88"/>
    <w:rsid w:val="00551DBE"/>
    <w:rsid w:val="00591032"/>
    <w:rsid w:val="005B2DAC"/>
    <w:rsid w:val="005D686D"/>
    <w:rsid w:val="005E15F0"/>
    <w:rsid w:val="005F0248"/>
    <w:rsid w:val="005F097C"/>
    <w:rsid w:val="006A0BCD"/>
    <w:rsid w:val="006A1A44"/>
    <w:rsid w:val="006E6337"/>
    <w:rsid w:val="00743BA8"/>
    <w:rsid w:val="0077111B"/>
    <w:rsid w:val="00796D79"/>
    <w:rsid w:val="007A5C30"/>
    <w:rsid w:val="007A70AF"/>
    <w:rsid w:val="007D541E"/>
    <w:rsid w:val="007E50F5"/>
    <w:rsid w:val="007F706A"/>
    <w:rsid w:val="008329E3"/>
    <w:rsid w:val="00861D69"/>
    <w:rsid w:val="00880D54"/>
    <w:rsid w:val="008B19A8"/>
    <w:rsid w:val="0092708B"/>
    <w:rsid w:val="009807D7"/>
    <w:rsid w:val="009D09D7"/>
    <w:rsid w:val="009D2B0D"/>
    <w:rsid w:val="00A05A08"/>
    <w:rsid w:val="00A77277"/>
    <w:rsid w:val="00A97F11"/>
    <w:rsid w:val="00AB07C2"/>
    <w:rsid w:val="00AB3C08"/>
    <w:rsid w:val="00AC1ADD"/>
    <w:rsid w:val="00AF0273"/>
    <w:rsid w:val="00B2440B"/>
    <w:rsid w:val="00B636B1"/>
    <w:rsid w:val="00B66F78"/>
    <w:rsid w:val="00B8137C"/>
    <w:rsid w:val="00BF362A"/>
    <w:rsid w:val="00C10CD7"/>
    <w:rsid w:val="00C27952"/>
    <w:rsid w:val="00C9577F"/>
    <w:rsid w:val="00DB4626"/>
    <w:rsid w:val="00DD7773"/>
    <w:rsid w:val="00DE398F"/>
    <w:rsid w:val="00E03793"/>
    <w:rsid w:val="00E1091A"/>
    <w:rsid w:val="00E1109F"/>
    <w:rsid w:val="00E30A0C"/>
    <w:rsid w:val="00E37768"/>
    <w:rsid w:val="00E46D09"/>
    <w:rsid w:val="00E55B56"/>
    <w:rsid w:val="00E662E3"/>
    <w:rsid w:val="00E938E6"/>
    <w:rsid w:val="00ED1D6B"/>
    <w:rsid w:val="00F100BC"/>
    <w:rsid w:val="00F14ED8"/>
    <w:rsid w:val="00F67448"/>
    <w:rsid w:val="00F76EA5"/>
    <w:rsid w:val="00F87F4D"/>
    <w:rsid w:val="053D3E79"/>
    <w:rsid w:val="08AD11AC"/>
    <w:rsid w:val="0D6904F0"/>
    <w:rsid w:val="0DE937AD"/>
    <w:rsid w:val="15380087"/>
    <w:rsid w:val="186D20C8"/>
    <w:rsid w:val="266A6A94"/>
    <w:rsid w:val="2B70070F"/>
    <w:rsid w:val="32BD0DAD"/>
    <w:rsid w:val="377C641E"/>
    <w:rsid w:val="3AE33117"/>
    <w:rsid w:val="3DCF738B"/>
    <w:rsid w:val="3DE334D3"/>
    <w:rsid w:val="434C6995"/>
    <w:rsid w:val="454730AA"/>
    <w:rsid w:val="472E4714"/>
    <w:rsid w:val="4A197060"/>
    <w:rsid w:val="4DDF6200"/>
    <w:rsid w:val="50204F9A"/>
    <w:rsid w:val="53B33D32"/>
    <w:rsid w:val="56B23C38"/>
    <w:rsid w:val="56EC0D4A"/>
    <w:rsid w:val="58E7654C"/>
    <w:rsid w:val="5A4E7D6E"/>
    <w:rsid w:val="5C622BBA"/>
    <w:rsid w:val="615D4B46"/>
    <w:rsid w:val="616E2A92"/>
    <w:rsid w:val="629F27D7"/>
    <w:rsid w:val="679113F7"/>
    <w:rsid w:val="6EB001CB"/>
    <w:rsid w:val="754A2180"/>
    <w:rsid w:val="762F3DD7"/>
    <w:rsid w:val="77933570"/>
    <w:rsid w:val="7A1C53F3"/>
    <w:rsid w:val="7AF92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Courier New" w:cs="Times New Roman"/>
      <w:color w:val="000000"/>
      <w:kern w:val="0"/>
      <w:sz w:val="24"/>
      <w:szCs w:val="24"/>
      <w:lang w:val="en-US" w:eastAsia="en-US" w:bidi="en-US"/>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5"/>
    <w:semiHidden/>
    <w:unhideWhenUsed/>
    <w:qFormat/>
    <w:uiPriority w:val="99"/>
    <w:pPr>
      <w:spacing w:after="120"/>
      <w:ind w:left="420" w:leftChars="200"/>
    </w:pPr>
  </w:style>
  <w:style w:type="paragraph" w:styleId="4">
    <w:name w:val="footer"/>
    <w:basedOn w:val="1"/>
    <w:link w:val="14"/>
    <w:unhideWhenUsed/>
    <w:qFormat/>
    <w:uiPriority w:val="99"/>
    <w:pPr>
      <w:tabs>
        <w:tab w:val="center" w:pos="4153"/>
        <w:tab w:val="right" w:pos="8306"/>
      </w:tabs>
      <w:snapToGrid w:val="0"/>
    </w:pPr>
    <w:rPr>
      <w:rFonts w:asciiTheme="minorHAnsi" w:hAnsiTheme="minorHAnsi" w:eastAsiaTheme="minorEastAsia" w:cstheme="minorBidi"/>
      <w:color w:val="auto"/>
      <w:kern w:val="2"/>
      <w:sz w:val="18"/>
      <w:szCs w:val="18"/>
      <w:lang w:eastAsia="zh-CN" w:bidi="ar-SA"/>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color w:val="auto"/>
      <w:kern w:val="2"/>
      <w:sz w:val="18"/>
      <w:szCs w:val="18"/>
      <w:lang w:eastAsia="zh-CN" w:bidi="ar-SA"/>
    </w:rPr>
  </w:style>
  <w:style w:type="paragraph" w:styleId="6">
    <w:name w:val="Body Text First Indent 2"/>
    <w:basedOn w:val="3"/>
    <w:link w:val="16"/>
    <w:unhideWhenUsed/>
    <w:qFormat/>
    <w:uiPriority w:val="99"/>
    <w:pPr>
      <w:spacing w:afterLines="25" w:line="300" w:lineRule="auto"/>
      <w:ind w:firstLine="420" w:firstLineChars="200"/>
      <w:jc w:val="both"/>
    </w:pPr>
    <w:rPr>
      <w:rFonts w:ascii="等线" w:hAnsi="等线" w:eastAsia="等线"/>
      <w:color w:val="auto"/>
      <w:kern w:val="2"/>
      <w:sz w:val="21"/>
      <w:szCs w:val="22"/>
      <w:lang w:eastAsia="zh-CN" w:bidi="ar-SA"/>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Hyperlink"/>
    <w:basedOn w:val="9"/>
    <w:semiHidden/>
    <w:unhideWhenUsed/>
    <w:qFormat/>
    <w:uiPriority w:val="99"/>
    <w:rPr>
      <w:color w:val="0000FF"/>
      <w:u w:val="single"/>
    </w:rPr>
  </w:style>
  <w:style w:type="paragraph" w:styleId="12">
    <w:name w:val="List Paragraph"/>
    <w:basedOn w:val="1"/>
    <w:autoRedefine/>
    <w:qFormat/>
    <w:uiPriority w:val="0"/>
    <w:pPr>
      <w:ind w:firstLine="420" w:firstLineChars="200"/>
    </w:pPr>
    <w:rPr>
      <w:rFonts w:ascii="Calibri" w:hAnsi="Calibri"/>
      <w:szCs w:val="22"/>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正文文本缩进 字符"/>
    <w:basedOn w:val="9"/>
    <w:link w:val="3"/>
    <w:semiHidden/>
    <w:qFormat/>
    <w:uiPriority w:val="99"/>
    <w:rPr>
      <w:rFonts w:ascii="Times New Roman" w:hAnsi="Times New Roman" w:eastAsia="Courier New" w:cs="Times New Roman"/>
      <w:color w:val="000000"/>
      <w:kern w:val="0"/>
      <w:sz w:val="24"/>
      <w:szCs w:val="24"/>
      <w:lang w:eastAsia="en-US" w:bidi="en-US"/>
    </w:rPr>
  </w:style>
  <w:style w:type="character" w:customStyle="1" w:styleId="16">
    <w:name w:val="正文文本首行缩进 2 字符"/>
    <w:basedOn w:val="15"/>
    <w:link w:val="6"/>
    <w:qFormat/>
    <w:uiPriority w:val="99"/>
    <w:rPr>
      <w:rFonts w:ascii="等线" w:hAnsi="等线" w:eastAsia="等线" w:cs="Times New Roman"/>
      <w:color w:val="000000"/>
      <w:kern w:val="0"/>
      <w:sz w:val="24"/>
      <w:szCs w:val="24"/>
      <w:lang w:eastAsia="en-US" w:bidi="en-US"/>
    </w:rPr>
  </w:style>
  <w:style w:type="paragraph" w:customStyle="1" w:styleId="17">
    <w:name w:val="其他"/>
    <w:basedOn w:val="1"/>
    <w:qFormat/>
    <w:uiPriority w:val="0"/>
    <w:pPr>
      <w:shd w:val="clear" w:color="auto" w:fill="FFFFFF"/>
      <w:spacing w:line="454" w:lineRule="auto"/>
      <w:ind w:firstLine="400"/>
    </w:pPr>
    <w:rPr>
      <w:rFonts w:ascii="微软雅黑" w:hAnsi="微软雅黑" w:eastAsia="微软雅黑" w:cs="微软雅黑"/>
      <w:sz w:val="40"/>
      <w:szCs w:val="40"/>
      <w:lang w:val="zh-CN" w:eastAsia="zh-CN" w:bidi="zh-CN"/>
    </w:rPr>
  </w:style>
  <w:style w:type="paragraph" w:customStyle="1" w:styleId="18">
    <w:name w:val="列出段落11"/>
    <w:basedOn w:val="1"/>
    <w:qFormat/>
    <w:uiPriority w:val="99"/>
    <w:pPr>
      <w:widowControl/>
      <w:ind w:firstLine="420" w:firstLineChars="200"/>
      <w:jc w:val="left"/>
    </w:pPr>
    <w:rPr>
      <w:rFonts w:ascii="Times New Roman" w:hAnsi="Times New Roman" w:cs="Times New Roman"/>
      <w:kern w:val="0"/>
      <w:sz w:val="20"/>
      <w:szCs w:val="20"/>
    </w:rPr>
  </w:style>
  <w:style w:type="character" w:customStyle="1" w:styleId="19">
    <w:name w:val="font21"/>
    <w:basedOn w:val="9"/>
    <w:qFormat/>
    <w:uiPriority w:val="0"/>
    <w:rPr>
      <w:rFonts w:hint="eastAsia" w:ascii="宋体" w:hAnsi="宋体" w:eastAsia="宋体" w:cs="宋体"/>
      <w:color w:val="FF0000"/>
      <w:sz w:val="22"/>
      <w:szCs w:val="22"/>
      <w:u w:val="none"/>
    </w:rPr>
  </w:style>
  <w:style w:type="character" w:customStyle="1" w:styleId="20">
    <w:name w:val="font0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781</Words>
  <Characters>904</Characters>
  <Lines>15</Lines>
  <Paragraphs>4</Paragraphs>
  <TotalTime>33</TotalTime>
  <ScaleCrop>false</ScaleCrop>
  <LinksUpToDate>false</LinksUpToDate>
  <CharactersWithSpaces>936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2026-02-02T01:55:00Z</dcterms:created>
  <dc:creator>黄宇</dc:creator>
  <cp:lastModifiedBy>刘博翔</cp:lastModifiedBy>
  <cp:lastPrinted>2026-04-14T04:19:00Z</cp:lastPrinted>
  <dcterms:modified xsi:type="dcterms:W3CDTF">2026-06-26T02:25:45Z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eyJoZGlkIjoiMTQ4YmRmZWFiZWJiYjNkZDUyZjNhM2QzNjQyNjFlMTQiLCJ1c2VySWQiOiIyNDMxMTMzOTYifQ==</vt:lpwstr>
  </property>
  <property fmtid="{D5CDD505-2E9C-101B-9397-08002B2CF9AE}" pid="3" name="KSOProductBuildVer">
    <vt:lpwstr>2052-12.1.0.26884</vt:lpwstr>
  </property>
  <property fmtid="{D5CDD505-2E9C-101B-9397-08002B2CF9AE}" pid="4" name="ICV">
    <vt:lpwstr>70D8A496F2B8400D8AA1D55975FE0074_13</vt:lpwstr>
  </property>
</Properties>
</file>