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A5DCA">
      <w:pPr>
        <w:spacing w:line="560" w:lineRule="exact"/>
        <w:rPr>
          <w:rFonts w:hint="eastAsia" w:ascii="宋体" w:hAnsi="宋体" w:eastAsia="宋体"/>
          <w:sz w:val="30"/>
          <w:szCs w:val="30"/>
          <w:lang w:eastAsia="zh-CN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附件1-1:</w:t>
      </w:r>
      <w:r>
        <w:rPr>
          <w:rFonts w:hint="eastAsia" w:ascii="宋体" w:hAnsi="宋体" w:eastAsia="宋体"/>
          <w:sz w:val="30"/>
          <w:szCs w:val="30"/>
          <w:lang w:eastAsia="zh-CN"/>
        </w:rPr>
        <w:t xml:space="preserve">           </w:t>
      </w:r>
    </w:p>
    <w:p w14:paraId="6BE79395">
      <w:pPr>
        <w:spacing w:line="560" w:lineRule="exact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  <w:t>深圳市宝排水质检测中心有限公司</w:t>
      </w:r>
    </w:p>
    <w:p w14:paraId="547CC933">
      <w:pPr>
        <w:spacing w:line="560" w:lineRule="exact"/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eastAsia="zh-CN" w:bidi="ar-SA"/>
        </w:rPr>
        <w:t>全自动化学需氧量分析仪等检测仪器采购项目需求书</w:t>
      </w:r>
    </w:p>
    <w:p w14:paraId="523F99EB">
      <w:pPr>
        <w:spacing w:line="560" w:lineRule="exact"/>
        <w:jc w:val="center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</w:p>
    <w:tbl>
      <w:tblPr>
        <w:tblStyle w:val="7"/>
        <w:tblW w:w="98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363"/>
      </w:tblGrid>
      <w:tr w14:paraId="1F408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445" w:type="dxa"/>
            <w:vAlign w:val="center"/>
          </w:tcPr>
          <w:p w14:paraId="6D00B7E4">
            <w:pPr>
              <w:spacing w:line="560" w:lineRule="exact"/>
              <w:jc w:val="both"/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  <w:t>资格要求</w:t>
            </w:r>
          </w:p>
        </w:tc>
        <w:tc>
          <w:tcPr>
            <w:tcW w:w="8363" w:type="dxa"/>
            <w:vAlign w:val="center"/>
          </w:tcPr>
          <w:p w14:paraId="21D48272">
            <w:pPr>
              <w:numPr>
                <w:ilvl w:val="-1"/>
                <w:numId w:val="0"/>
              </w:numPr>
              <w:adjustRightInd w:val="0"/>
              <w:snapToGrid w:val="0"/>
              <w:spacing w:after="0" w:line="360" w:lineRule="auto"/>
              <w:ind w:left="0" w:leftChars="0" w:firstLine="480" w:firstLineChars="200"/>
              <w:rPr>
                <w:rFonts w:hint="eastAsia" w:ascii="宋体" w:hAnsi="宋体" w:eastAsia="Courier New" w:cs="Courier New"/>
                <w:sz w:val="24"/>
                <w:lang w:val="en-US" w:eastAsia="zh-CN"/>
              </w:rPr>
            </w:pPr>
            <w:r>
              <w:rPr>
                <w:rFonts w:hint="eastAsia" w:ascii="宋体" w:hAnsi="宋体" w:eastAsia="Courier New" w:cs="Courier New"/>
                <w:sz w:val="24"/>
                <w:lang w:val="en-US" w:eastAsia="zh-CN"/>
              </w:rPr>
              <w:t>1.营业执照经营范围需包含检测仪器销售、实验室仪器销售等；</w:t>
            </w:r>
          </w:p>
          <w:p w14:paraId="4F9B98C4">
            <w:pPr>
              <w:numPr>
                <w:ilvl w:val="-1"/>
                <w:numId w:val="0"/>
              </w:numPr>
              <w:adjustRightInd w:val="0"/>
              <w:snapToGrid w:val="0"/>
              <w:spacing w:after="0" w:line="360" w:lineRule="auto"/>
              <w:ind w:left="0" w:leftChars="0" w:firstLine="480" w:firstLineChars="200"/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宋体" w:hAnsi="宋体" w:eastAsia="Courier New" w:cs="Courier New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本项目</w:t>
            </w:r>
            <w:r>
              <w:rPr>
                <w:rFonts w:hint="eastAsia" w:ascii="宋体" w:hAnsi="宋体" w:eastAsia="Courier New" w:cs="Courier New"/>
                <w:sz w:val="24"/>
                <w:lang w:val="en-US" w:eastAsia="zh-CN"/>
              </w:rPr>
              <w:t>不允许分包或转包。</w:t>
            </w:r>
          </w:p>
        </w:tc>
      </w:tr>
      <w:tr w14:paraId="7CE6E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5" w:type="dxa"/>
            <w:vAlign w:val="center"/>
          </w:tcPr>
          <w:p w14:paraId="09EC5A41">
            <w:pPr>
              <w:spacing w:line="560" w:lineRule="exact"/>
              <w:jc w:val="both"/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  <w:t>采购项目技术/服务要求</w:t>
            </w:r>
          </w:p>
        </w:tc>
        <w:tc>
          <w:tcPr>
            <w:tcW w:w="8363" w:type="dxa"/>
            <w:vAlign w:val="center"/>
          </w:tcPr>
          <w:p w14:paraId="15053926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leftChars="0"/>
              <w:outlineLvl w:val="0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一、需求内容</w:t>
            </w:r>
          </w:p>
          <w:p w14:paraId="1FBA1859">
            <w:pPr>
              <w:numPr>
                <w:ilvl w:val="-1"/>
                <w:numId w:val="0"/>
              </w:numPr>
              <w:adjustRightInd w:val="0"/>
              <w:snapToGrid w:val="0"/>
              <w:spacing w:after="60" w:line="360" w:lineRule="auto"/>
              <w:ind w:left="0" w:leftChars="0" w:firstLine="480" w:firstLineChars="200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供货商可在检测仪器清单的推荐品牌中任选一种品牌供货，供货商选择的品牌型号需满足“第三章 第二节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</w:rPr>
              <w:t>设备技术要求</w:t>
            </w:r>
            <w:r>
              <w:rPr>
                <w:rFonts w:hint="eastAsia" w:cs="Times New Roman"/>
                <w:sz w:val="24"/>
                <w:lang w:val="en-US" w:eastAsia="zh-CN"/>
              </w:rPr>
              <w:t>”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的参数要求</w:t>
            </w:r>
            <w:r>
              <w:rPr>
                <w:rFonts w:hint="eastAsia" w:cs="Times New Roman"/>
                <w:sz w:val="24"/>
                <w:lang w:val="en-US" w:eastAsia="zh-CN"/>
              </w:rPr>
              <w:t>。</w:t>
            </w:r>
          </w:p>
          <w:tbl>
            <w:tblPr>
              <w:tblStyle w:val="7"/>
              <w:tblW w:w="0" w:type="auto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7"/>
              <w:gridCol w:w="1891"/>
              <w:gridCol w:w="557"/>
              <w:gridCol w:w="557"/>
              <w:gridCol w:w="4465"/>
            </w:tblGrid>
            <w:tr w14:paraId="4F68B9E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34" w:hRule="atLeast"/>
              </w:trPr>
              <w:tc>
                <w:tcPr>
                  <w:tcW w:w="46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2ACEE0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序号</w:t>
                  </w:r>
                </w:p>
              </w:tc>
              <w:tc>
                <w:tcPr>
                  <w:tcW w:w="189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EA60B4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仪器名称</w:t>
                  </w:r>
                </w:p>
              </w:tc>
              <w:tc>
                <w:tcPr>
                  <w:tcW w:w="55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E6BCC5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单位</w:t>
                  </w:r>
                </w:p>
              </w:tc>
              <w:tc>
                <w:tcPr>
                  <w:tcW w:w="55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BF3AA6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数量</w:t>
                  </w:r>
                </w:p>
              </w:tc>
              <w:tc>
                <w:tcPr>
                  <w:tcW w:w="446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062656D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推荐品牌</w:t>
                  </w:r>
                </w:p>
              </w:tc>
            </w:tr>
            <w:tr w14:paraId="6DC438B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4" w:hRule="atLeast"/>
              </w:trPr>
              <w:tc>
                <w:tcPr>
                  <w:tcW w:w="46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4229BE6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1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47927C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全自动化学需氧量分析仪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406C19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套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0A0FCE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1</w:t>
                  </w:r>
                </w:p>
              </w:tc>
              <w:tc>
                <w:tcPr>
                  <w:tcW w:w="446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A0F657E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default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北京吉天、宝德、深圳呼客</w:t>
                  </w:r>
                </w:p>
              </w:tc>
            </w:tr>
            <w:tr w14:paraId="618917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4" w:hRule="atLeast"/>
              </w:trPr>
              <w:tc>
                <w:tcPr>
                  <w:tcW w:w="46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2FF0793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2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C0BD79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挥发酚流动注射分析仪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9ABBB2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套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F7EBCF1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1</w:t>
                  </w:r>
                </w:p>
              </w:tc>
              <w:tc>
                <w:tcPr>
                  <w:tcW w:w="446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C8CF90E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北京吉天、宝德、海光、聚光科技</w:t>
                  </w:r>
                </w:p>
              </w:tc>
            </w:tr>
            <w:tr w14:paraId="765F4A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4" w:hRule="atLeast"/>
              </w:trPr>
              <w:tc>
                <w:tcPr>
                  <w:tcW w:w="46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0A1885D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3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B796C43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气相分子吸收光谱仪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7A2D79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套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32DB988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1</w:t>
                  </w:r>
                </w:p>
              </w:tc>
              <w:tc>
                <w:tcPr>
                  <w:tcW w:w="446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33778B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上海安杰、北裕、森谱</w:t>
                  </w:r>
                </w:p>
              </w:tc>
            </w:tr>
            <w:tr w14:paraId="14BA4C1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4" w:hRule="atLeast"/>
              </w:trPr>
              <w:tc>
                <w:tcPr>
                  <w:tcW w:w="46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68D2C83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4</w:t>
                  </w:r>
                </w:p>
              </w:tc>
              <w:tc>
                <w:tcPr>
                  <w:tcW w:w="189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579B31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数字瓶口滴定器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E427AED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套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6AD0377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en-US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4</w:t>
                  </w:r>
                </w:p>
              </w:tc>
              <w:tc>
                <w:tcPr>
                  <w:tcW w:w="446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CB4565">
                  <w:pPr>
                    <w:widowControl/>
                    <w:numPr>
                      <w:ilvl w:val="-1"/>
                      <w:numId w:val="0"/>
                    </w:numPr>
                    <w:jc w:val="center"/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napToGrid w:val="0"/>
                      <w:color w:val="000000"/>
                      <w:kern w:val="0"/>
                      <w:sz w:val="24"/>
                      <w:szCs w:val="24"/>
                      <w:lang w:val="en-US" w:eastAsia="zh-CN" w:bidi="en-US"/>
                    </w:rPr>
                    <w:t>普兰德、雷磁、莱浦生物、北京大龙</w:t>
                  </w:r>
                </w:p>
              </w:tc>
            </w:tr>
          </w:tbl>
          <w:p w14:paraId="7EA8D019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二、检测仪器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技术要求</w:t>
            </w:r>
          </w:p>
          <w:p w14:paraId="78EDABF7">
            <w:pPr>
              <w:adjustRightInd w:val="0"/>
              <w:snapToGrid w:val="0"/>
              <w:spacing w:after="78" w:line="360" w:lineRule="auto"/>
              <w:rPr>
                <w:rFonts w:ascii="宋体" w:hAnsi="宋体" w:cs="Courier New"/>
                <w:b/>
                <w:bCs/>
                <w:sz w:val="24"/>
              </w:rPr>
            </w:pPr>
            <w:r>
              <w:rPr>
                <w:rFonts w:hint="eastAsia" w:ascii="宋体" w:hAnsi="宋体" w:cs="Courier New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宋体" w:hAnsi="宋体" w:cs="Courier New"/>
                <w:b/>
                <w:bCs/>
                <w:sz w:val="24"/>
                <w:lang w:val="en-US" w:eastAsia="zh-CN"/>
              </w:rPr>
              <w:t>一</w:t>
            </w:r>
            <w:r>
              <w:rPr>
                <w:rFonts w:hint="eastAsia" w:ascii="宋体" w:hAnsi="宋体" w:cs="Courier New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宋体" w:hAnsi="宋体" w:cs="Courier New"/>
                <w:b/>
                <w:bCs/>
                <w:sz w:val="24"/>
              </w:rPr>
              <w:t>总体要求</w:t>
            </w:r>
          </w:p>
          <w:p w14:paraId="075C6E78">
            <w:pPr>
              <w:adjustRightInd w:val="0"/>
              <w:snapToGrid w:val="0"/>
              <w:spacing w:after="78" w:line="360" w:lineRule="auto"/>
              <w:ind w:firstLine="480" w:firstLineChars="200"/>
              <w:outlineLvl w:val="2"/>
              <w:rPr>
                <w:rFonts w:ascii="宋体" w:hAnsi="宋体" w:cs="Courier New"/>
                <w:sz w:val="24"/>
              </w:rPr>
            </w:pPr>
            <w:r>
              <w:rPr>
                <w:rFonts w:hint="eastAsia" w:ascii="宋体" w:hAnsi="宋体" w:cs="Courier New"/>
                <w:sz w:val="24"/>
              </w:rPr>
              <w:t>1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Courier New"/>
                <w:sz w:val="24"/>
              </w:rPr>
              <w:t>供货商负责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采购文件</w:t>
            </w:r>
            <w:r>
              <w:rPr>
                <w:rFonts w:hint="eastAsia" w:ascii="宋体" w:hAnsi="宋体" w:cs="Courier New"/>
                <w:sz w:val="24"/>
              </w:rPr>
              <w:t xml:space="preserve">要求的一切事宜及责任，包括货物供货、运输、仓储保管、验收及相关服务等。 </w:t>
            </w:r>
          </w:p>
          <w:p w14:paraId="2898ECBA">
            <w:pPr>
              <w:adjustRightInd w:val="0"/>
              <w:snapToGrid w:val="0"/>
              <w:spacing w:after="78" w:line="360" w:lineRule="auto"/>
              <w:ind w:firstLine="480" w:firstLineChars="200"/>
              <w:outlineLvl w:val="2"/>
              <w:rPr>
                <w:rFonts w:ascii="宋体" w:hAnsi="宋体" w:cs="Courier New"/>
                <w:sz w:val="24"/>
              </w:rPr>
            </w:pPr>
            <w:r>
              <w:rPr>
                <w:rFonts w:hint="eastAsia" w:ascii="宋体" w:hAnsi="宋体" w:cs="Courier New"/>
                <w:sz w:val="24"/>
              </w:rPr>
              <w:t>2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Courier New"/>
                <w:sz w:val="24"/>
              </w:rPr>
              <w:t>供货商所提供的设备应当是在中国境内合法销售，且符合国家有关部门规定的相应技术、节能、安全和环保标准</w:t>
            </w:r>
            <w:r>
              <w:rPr>
                <w:rFonts w:hint="eastAsia" w:ascii="宋体" w:hAnsi="宋体" w:eastAsia="宋体" w:cs="Courier New"/>
                <w:sz w:val="24"/>
                <w:lang w:eastAsia="zh-CN"/>
              </w:rPr>
              <w:t>；</w:t>
            </w:r>
            <w:r>
              <w:rPr>
                <w:rFonts w:hint="eastAsia" w:ascii="宋体" w:hAnsi="宋体" w:cs="Courier New"/>
                <w:sz w:val="24"/>
              </w:rPr>
              <w:t>国家有关部门对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cs="Courier New"/>
                <w:sz w:val="24"/>
              </w:rPr>
              <w:t>所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提供</w:t>
            </w:r>
            <w:r>
              <w:rPr>
                <w:rFonts w:hint="eastAsia" w:ascii="宋体" w:hAnsi="宋体" w:cs="Courier New"/>
                <w:sz w:val="24"/>
              </w:rPr>
              <w:t>的产品有强制性规定或要求的，投标人所投报的产品应当符合相应规定或要求。</w:t>
            </w:r>
          </w:p>
          <w:p w14:paraId="6004AC14">
            <w:pPr>
              <w:adjustRightInd w:val="0"/>
              <w:snapToGrid w:val="0"/>
              <w:spacing w:after="78" w:line="360" w:lineRule="auto"/>
              <w:ind w:firstLine="480" w:firstLineChars="200"/>
              <w:outlineLvl w:val="2"/>
              <w:rPr>
                <w:rFonts w:hint="eastAsia" w:ascii="宋体" w:hAnsi="宋体" w:cs="Courier New"/>
                <w:sz w:val="24"/>
              </w:rPr>
            </w:pPr>
            <w:r>
              <w:rPr>
                <w:rFonts w:hint="eastAsia" w:ascii="宋体" w:hAnsi="宋体" w:cs="Courier New"/>
                <w:sz w:val="24"/>
              </w:rPr>
              <w:t>3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Courier New"/>
                <w:sz w:val="24"/>
              </w:rPr>
              <w:t>供货商所提供的货物如在实际供货时已经停产（不列入该厂家当时的产品系统），如果未能按原价提供更优质的货物，则按违约处理。</w:t>
            </w:r>
          </w:p>
          <w:p w14:paraId="6C0201B4">
            <w:pPr>
              <w:numPr>
                <w:ilvl w:val="-1"/>
                <w:numId w:val="0"/>
              </w:numPr>
              <w:adjustRightInd w:val="0"/>
              <w:snapToGrid w:val="0"/>
              <w:spacing w:after="60" w:line="360" w:lineRule="auto"/>
              <w:ind w:firstLine="480" w:firstLineChars="200"/>
              <w:rPr>
                <w:rFonts w:ascii="宋体" w:hAnsi="宋体" w:cs="Courier New"/>
                <w:sz w:val="24"/>
              </w:rPr>
            </w:pPr>
            <w:r>
              <w:rPr>
                <w:rFonts w:hint="eastAsia" w:ascii="宋体" w:hAnsi="宋体" w:cs="Courier New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cs="Courier New"/>
                <w:sz w:val="24"/>
              </w:rPr>
              <w:t>供应商须保证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所提供</w:t>
            </w:r>
            <w:r>
              <w:rPr>
                <w:rFonts w:hint="eastAsia" w:ascii="宋体" w:hAnsi="宋体" w:cs="Courier New"/>
                <w:sz w:val="24"/>
              </w:rPr>
              <w:t>设备是原装、全新的、符合质量标准的货物，不得以旧货翻新充数，并按有关要求进行包装及装运。</w:t>
            </w:r>
          </w:p>
          <w:p w14:paraId="73215D70">
            <w:pPr>
              <w:numPr>
                <w:ilvl w:val="-1"/>
                <w:numId w:val="0"/>
              </w:numPr>
              <w:adjustRightInd w:val="0"/>
              <w:snapToGrid w:val="0"/>
              <w:spacing w:after="60" w:line="360" w:lineRule="auto"/>
              <w:ind w:firstLine="480" w:firstLineChars="200"/>
              <w:rPr>
                <w:rFonts w:ascii="宋体" w:hAnsi="宋体" w:cs="Courier New"/>
                <w:sz w:val="24"/>
              </w:rPr>
            </w:pPr>
            <w:r>
              <w:rPr>
                <w:rFonts w:hint="eastAsia" w:ascii="宋体" w:hAnsi="宋体" w:cs="Courier New"/>
                <w:sz w:val="24"/>
                <w:lang w:val="en-US" w:eastAsia="zh-CN"/>
              </w:rPr>
              <w:t>5.</w:t>
            </w:r>
            <w:r>
              <w:rPr>
                <w:rFonts w:hint="eastAsia" w:ascii="宋体" w:hAnsi="宋体" w:cs="Courier New"/>
                <w:sz w:val="24"/>
              </w:rPr>
              <w:t>供货商须提供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所提供</w:t>
            </w:r>
            <w:r>
              <w:rPr>
                <w:rFonts w:hint="eastAsia" w:ascii="宋体" w:hAnsi="宋体" w:cs="Courier New"/>
                <w:sz w:val="24"/>
              </w:rPr>
              <w:t>设备的装箱清单、产品质量说明书、产品合格证书、出厂检验报告、用户手册、原厂保修卡、随机资料及配件、随机工具（如有）等，并保证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所提供</w:t>
            </w:r>
            <w:r>
              <w:rPr>
                <w:rFonts w:hint="eastAsia" w:ascii="宋体" w:hAnsi="宋体" w:cs="Courier New"/>
                <w:sz w:val="24"/>
              </w:rPr>
              <w:t>设备不侵犯任何第三方的专利、商标或版权。</w:t>
            </w:r>
          </w:p>
          <w:p w14:paraId="5C3BEAFD">
            <w:pPr>
              <w:pStyle w:val="6"/>
              <w:numPr>
                <w:ilvl w:val="-1"/>
                <w:numId w:val="0"/>
              </w:numPr>
              <w:adjustRightInd w:val="0"/>
              <w:snapToGrid w:val="0"/>
              <w:spacing w:line="360" w:lineRule="auto"/>
              <w:ind w:left="0" w:leftChars="0" w:firstLine="480" w:firstLineChars="200"/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</w:pP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6.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供应商必须负责将设备送至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采购人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指定的地址，所产生的所有费用由供货商承担。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合同签订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后</w:t>
            </w:r>
            <w:r>
              <w:rPr>
                <w:rFonts w:hint="eastAsia" w:ascii="宋体" w:hAnsi="宋体" w:eastAsia="宋体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30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个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日历日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内，完成设备的供货、安装、调试，并完成对使用单位相关人员的操作与使用培训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（厂家提供的免费培训）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。</w:t>
            </w:r>
          </w:p>
          <w:p w14:paraId="6A8BA795">
            <w:pPr>
              <w:pStyle w:val="6"/>
              <w:numPr>
                <w:ilvl w:val="-1"/>
                <w:numId w:val="0"/>
              </w:numPr>
              <w:adjustRightInd w:val="0"/>
              <w:snapToGrid w:val="0"/>
              <w:spacing w:line="360" w:lineRule="auto"/>
              <w:ind w:left="0" w:leftChars="0" w:firstLine="480" w:firstLineChars="200"/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7.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验收按国家有关的规定、规范进行。所有设备、器材在开箱时必须完好，无破损，配置与装箱单相符。运输和安装调试过程中因事故造成货物短缺、损坏，安排换货，以保证合同设备安装调试的成功完成，换货的相关费用由供货商承担。设备安装、调试完成后对供货商提供的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检测仪器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组织验收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。</w:t>
            </w:r>
          </w:p>
          <w:p w14:paraId="555E4C36">
            <w:pPr>
              <w:adjustRightInd w:val="0"/>
              <w:snapToGrid w:val="0"/>
              <w:spacing w:after="0" w:line="360" w:lineRule="auto"/>
              <w:ind w:firstLine="480" w:firstLineChars="200"/>
              <w:outlineLvl w:val="9"/>
              <w:rPr>
                <w:rFonts w:hint="eastAsia" w:ascii="宋体" w:hAnsi="宋体" w:cs="Courier New"/>
                <w:sz w:val="24"/>
              </w:rPr>
            </w:pP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8.全自动化学需氧量分析仪质保期为3年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en-US" w:bidi="en-US"/>
              </w:rPr>
              <w:t>（自验收合格日起）</w:t>
            </w:r>
            <w:r>
              <w:rPr>
                <w:rFonts w:hint="eastAsia" w:ascii="宋体" w:hAnsi="宋体" w:eastAsia="Courier New" w:cs="Courier New"/>
                <w:color w:val="000000"/>
                <w:kern w:val="0"/>
                <w:sz w:val="24"/>
                <w:szCs w:val="24"/>
                <w:lang w:val="en-US" w:eastAsia="zh-CN" w:bidi="en-US"/>
              </w:rPr>
              <w:t>，其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它</w:t>
            </w:r>
            <w:r>
              <w:rPr>
                <w:rFonts w:hint="eastAsia" w:ascii="宋体" w:hAnsi="宋体" w:cs="Courier New"/>
                <w:sz w:val="24"/>
              </w:rPr>
              <w:t>仪器整机质保为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Courier New"/>
                <w:sz w:val="24"/>
              </w:rPr>
              <w:t>年</w:t>
            </w:r>
            <w:r>
              <w:rPr>
                <w:rFonts w:hint="eastAsia" w:ascii="宋体" w:hAnsi="宋体" w:cs="Courier New"/>
                <w:sz w:val="24"/>
                <w:lang w:eastAsia="zh-CN"/>
              </w:rPr>
              <w:t>。</w:t>
            </w:r>
            <w:r>
              <w:rPr>
                <w:rFonts w:hint="eastAsia" w:ascii="宋体" w:hAnsi="宋体" w:cs="Courier New"/>
                <w:sz w:val="24"/>
              </w:rPr>
              <w:t>在质保期内，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cs="Courier New"/>
                <w:sz w:val="24"/>
              </w:rPr>
              <w:t>负责免费维修及更换零配件</w:t>
            </w:r>
            <w:r>
              <w:rPr>
                <w:rFonts w:hint="eastAsia" w:ascii="宋体" w:hAnsi="宋体" w:cs="Courier New"/>
                <w:sz w:val="24"/>
                <w:lang w:eastAsia="zh-CN"/>
              </w:rPr>
              <w:t>，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所有仪器</w:t>
            </w:r>
            <w:r>
              <w:rPr>
                <w:rFonts w:hint="eastAsia" w:ascii="宋体" w:hAnsi="宋体" w:cs="Courier New"/>
                <w:sz w:val="24"/>
              </w:rPr>
              <w:t>提供终身的技术支持。</w:t>
            </w:r>
            <w:r>
              <w:rPr>
                <w:rFonts w:hint="eastAsia" w:ascii="宋体" w:hAnsi="宋体" w:cs="Courier New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cs="Courier New"/>
                <w:sz w:val="24"/>
              </w:rPr>
              <w:t>在接收到报修要求后，应在3日内到现场进行维修。</w:t>
            </w:r>
          </w:p>
          <w:p w14:paraId="1B7C4B4A">
            <w:pPr>
              <w:adjustRightInd w:val="0"/>
              <w:snapToGrid w:val="0"/>
              <w:spacing w:after="78" w:line="360" w:lineRule="auto"/>
              <w:rPr>
                <w:rFonts w:ascii="宋体" w:hAnsi="宋体" w:cs="Courier New"/>
                <w:b/>
                <w:bCs/>
                <w:sz w:val="24"/>
              </w:rPr>
            </w:pPr>
            <w:r>
              <w:rPr>
                <w:rFonts w:hint="eastAsia" w:ascii="宋体" w:hAnsi="宋体" w:cs="Courier New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宋体" w:hAnsi="宋体" w:cs="Courier New"/>
                <w:b/>
                <w:bCs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cs="Courier New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宋体" w:hAnsi="宋体" w:cs="Courier New"/>
                <w:b/>
                <w:bCs/>
                <w:sz w:val="24"/>
              </w:rPr>
              <w:t>设备技术要求</w:t>
            </w:r>
          </w:p>
          <w:p w14:paraId="480F07F9">
            <w:pPr>
              <w:adjustRightInd w:val="0"/>
              <w:snapToGrid w:val="0"/>
              <w:spacing w:after="0" w:line="360" w:lineRule="auto"/>
              <w:ind w:firstLine="480" w:firstLineChars="200"/>
              <w:outlineLvl w:val="9"/>
              <w:rPr>
                <w:rFonts w:hint="eastAsia" w:ascii="宋体" w:hAnsi="宋体" w:cs="Courier New"/>
                <w:sz w:val="24"/>
                <w:lang w:eastAsia="zh-CN"/>
              </w:rPr>
            </w:pPr>
            <w:r>
              <w:rPr>
                <w:rFonts w:hint="eastAsia" w:ascii="宋体" w:hAnsi="宋体" w:cs="Courier New"/>
                <w:sz w:val="24"/>
              </w:rPr>
              <w:t>设备技术要求如下</w:t>
            </w:r>
            <w:r>
              <w:rPr>
                <w:rFonts w:hint="eastAsia" w:ascii="宋体" w:hAnsi="宋体" w:cs="Courier New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</w:rPr>
              <w:t>标注“★”的</w:t>
            </w:r>
            <w:r>
              <w:rPr>
                <w:rFonts w:hint="eastAsia" w:ascii="宋体" w:hAnsi="宋体" w:cs="Courier New"/>
                <w:kern w:val="2"/>
                <w:sz w:val="24"/>
                <w:szCs w:val="24"/>
                <w:lang w:val="en-US" w:eastAsia="zh-CN"/>
              </w:rPr>
              <w:t>参数不允许发生负偏离，否者将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</w:rPr>
              <w:t>导致</w:t>
            </w:r>
            <w:r>
              <w:rPr>
                <w:rFonts w:hint="eastAsia" w:ascii="宋体" w:hAnsi="宋体" w:cs="Courier New"/>
                <w:kern w:val="2"/>
                <w:sz w:val="24"/>
                <w:szCs w:val="24"/>
                <w:lang w:val="en-US" w:eastAsia="zh-CN"/>
              </w:rPr>
              <w:t>后续在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</w:rPr>
              <w:t>投标</w:t>
            </w:r>
            <w:r>
              <w:rPr>
                <w:rFonts w:hint="eastAsia" w:ascii="宋体" w:hAnsi="宋体" w:cs="Courier New"/>
                <w:kern w:val="2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</w:rPr>
              <w:t>被否决</w:t>
            </w:r>
            <w:r>
              <w:rPr>
                <w:rFonts w:hint="eastAsia" w:ascii="宋体" w:hAnsi="宋体" w:cs="Courier New"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</w:rPr>
              <w:t>标注“▲”的条款</w:t>
            </w:r>
            <w:r>
              <w:rPr>
                <w:rFonts w:hint="eastAsia" w:ascii="宋体" w:hAnsi="宋体" w:cs="Courier New"/>
                <w:kern w:val="2"/>
                <w:sz w:val="24"/>
                <w:szCs w:val="24"/>
                <w:lang w:val="en-US" w:eastAsia="zh-CN"/>
              </w:rPr>
              <w:t>发生负偏离将在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</w:rPr>
              <w:t>评、定标时产生不利于</w:t>
            </w:r>
            <w:r>
              <w:rPr>
                <w:rFonts w:hint="eastAsia" w:ascii="宋体" w:hAnsi="宋体" w:cs="Courier New"/>
                <w:kern w:val="2"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</w:rPr>
              <w:t>的影响</w:t>
            </w:r>
            <w:r>
              <w:rPr>
                <w:rFonts w:hint="eastAsia" w:ascii="宋体" w:hAnsi="宋体" w:cs="Courier New"/>
                <w:sz w:val="24"/>
                <w:lang w:eastAsia="zh-CN"/>
              </w:rPr>
              <w:t>。</w:t>
            </w:r>
          </w:p>
          <w:tbl>
            <w:tblPr>
              <w:tblStyle w:val="8"/>
              <w:tblW w:w="822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5"/>
              <w:gridCol w:w="779"/>
              <w:gridCol w:w="7057"/>
            </w:tblGrid>
            <w:tr w14:paraId="0EE6F4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3" w:hRule="atLeast"/>
              </w:trPr>
              <w:tc>
                <w:tcPr>
                  <w:tcW w:w="385" w:type="dxa"/>
                  <w:shd w:val="clear" w:color="auto" w:fill="auto"/>
                  <w:vAlign w:val="center"/>
                </w:tcPr>
                <w:p w14:paraId="19E3E0D8">
                  <w:pPr>
                    <w:pStyle w:val="6"/>
                    <w:spacing w:after="78"/>
                    <w:ind w:left="0" w:leftChars="0" w:firstLine="0" w:firstLineChars="0"/>
                    <w:jc w:val="center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highlight w:val="none"/>
                    </w:rPr>
                    <w:t>序号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52CE34D6">
                  <w:pPr>
                    <w:pStyle w:val="6"/>
                    <w:spacing w:after="78"/>
                    <w:ind w:left="0" w:leftChars="0" w:firstLine="0" w:firstLineChars="0"/>
                    <w:jc w:val="center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highlight w:val="none"/>
                    </w:rPr>
                    <w:t>设备名称</w:t>
                  </w: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6F02AC92">
                  <w:pPr>
                    <w:pStyle w:val="6"/>
                    <w:spacing w:after="78"/>
                    <w:ind w:left="0" w:leftChars="0" w:firstLine="0" w:firstLineChars="0"/>
                    <w:jc w:val="center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highlight w:val="none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highlight w:val="none"/>
                    </w:rPr>
                    <w:t>技术参数/指标</w:t>
                  </w:r>
                </w:p>
              </w:tc>
            </w:tr>
            <w:tr w14:paraId="137CCC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restart"/>
                  <w:shd w:val="clear" w:color="auto" w:fill="auto"/>
                  <w:vAlign w:val="center"/>
                </w:tcPr>
                <w:p w14:paraId="781CF107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779" w:type="dxa"/>
                  <w:vMerge w:val="restart"/>
                  <w:shd w:val="clear" w:color="auto" w:fill="auto"/>
                  <w:vAlign w:val="center"/>
                </w:tcPr>
                <w:p w14:paraId="7173631F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全自动化学需氧量分析仪</w:t>
                  </w: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2727EB5C">
                  <w:pPr>
                    <w:numPr>
                      <w:ilvl w:val="-1"/>
                      <w:numId w:val="0"/>
                    </w:numPr>
                    <w:adjustRightInd w:val="0"/>
                    <w:snapToGrid w:val="0"/>
                    <w:spacing w:after="0" w:afterLines="-2147483648" w:line="240" w:lineRule="auto"/>
                    <w:ind w:right="480"/>
                    <w:jc w:val="left"/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sz w:val="21"/>
                      <w:szCs w:val="21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1.1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★</w:t>
                  </w: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功能要求</w:t>
                  </w: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sz w:val="21"/>
                      <w:szCs w:val="21"/>
                      <w:highlight w:val="none"/>
                      <w:lang w:eastAsia="zh-CN"/>
                    </w:rPr>
                    <w:t>:</w:t>
                  </w:r>
                </w:p>
                <w:p w14:paraId="73C5EF01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仪器符合《水质 化学需氧量的测定 重铬酸盐法》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（HJ 828-2017）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eastAsia="zh-CN"/>
                    </w:rPr>
                    <w:t>的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要求，测量范围不低于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eastAsia="zh-CN"/>
                    </w:rPr>
                    <w:t>: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-700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mg/L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；</w:t>
                  </w:r>
                </w:p>
                <w:p w14:paraId="094AFFF4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可实现无人值守运行；</w:t>
                  </w:r>
                </w:p>
                <w:p w14:paraId="65EC1FF7">
                  <w:p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)测试效率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eastAsia="zh-CN"/>
                    </w:rPr>
                    <w:t>: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日处理样品量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100个；</w:t>
                  </w:r>
                </w:p>
                <w:p w14:paraId="790F3E23">
                  <w:p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default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(4)除出风口外，整机外壳全密闭设计，防止污染环境；</w:t>
                  </w:r>
                </w:p>
                <w:p w14:paraId="3E3CC2E1">
                  <w:p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(5)仪器做样途中，可随意添加样品，无需停机等待；</w:t>
                  </w:r>
                </w:p>
                <w:p w14:paraId="5A98AA7F">
                  <w:p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 w:val="0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(6)仪器长度≤1350 mm。</w:t>
                  </w:r>
                </w:p>
              </w:tc>
            </w:tr>
            <w:tr w14:paraId="0741A2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3C17015A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2E1004F0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2B6DBD3B">
                  <w:pPr>
                    <w:adjustRightInd w:val="0"/>
                    <w:snapToGrid w:val="0"/>
                    <w:spacing w:line="240" w:lineRule="auto"/>
                    <w:ind w:right="480" w:rightChars="0"/>
                    <w:jc w:val="both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1.2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highlight w:val="none"/>
                      <w:lang w:bidi="ar"/>
                    </w:rPr>
                    <w:t>▲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关键性能指标</w:t>
                  </w:r>
                </w:p>
                <w:p w14:paraId="42811B9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进样器部分: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样品位≥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65位；</w:t>
                  </w:r>
                </w:p>
                <w:p w14:paraId="5515FA59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加液模块:重铬酸钾（高低）和硫酸亚铁铵（高低）必须使用高精度注射泵，重铬酸钾注射泵的加液误差≤0.2%，硫酸亚铁铵的加液误差≤0.16%；</w:t>
                  </w:r>
                </w:p>
                <w:p w14:paraId="1D0EB429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消解模块:独立消解模块设计，每个消解模块可独立控温，消解模块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10个；</w:t>
                  </w:r>
                </w:p>
                <w:p w14:paraId="3FDE4C57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 w:val="0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(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</w:rPr>
                    <w:t>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滴定模块:颜色滴定、电位滴定、颜色+电位双重滴定三种模式可选。</w:t>
                  </w:r>
                </w:p>
              </w:tc>
            </w:tr>
            <w:tr w14:paraId="5ADC8C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4D167593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76DAF2D0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6166A067">
                  <w:pPr>
                    <w:tabs>
                      <w:tab w:val="left" w:pos="825"/>
                    </w:tabs>
                    <w:adjustRightInd w:val="0"/>
                    <w:snapToGrid w:val="0"/>
                    <w:spacing w:after="78" w:afterLines="25" w:line="240" w:lineRule="auto"/>
                    <w:ind w:right="480" w:rightChars="0"/>
                    <w:jc w:val="left"/>
                    <w:rPr>
                      <w:rFonts w:hint="eastAsia" w:ascii="宋体" w:hAnsi="宋体" w:eastAsia="宋体" w:cs="宋体"/>
                      <w:bCs w:val="0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auto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1.3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highlight w:val="none"/>
                      <w:lang w:val="en-US" w:eastAsia="zh-CN" w:bidi="ar"/>
                    </w:rPr>
                    <w:t>具备从冷凝管顶部自动加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highlight w:val="none"/>
                      <w:lang w:bidi="ar"/>
                    </w:rPr>
                    <w:t>加硫酸-硫酸银溶液和纯水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highlight w:val="none"/>
                      <w:lang w:val="en-US" w:eastAsia="zh-CN" w:bidi="ar"/>
                    </w:rPr>
                    <w:t>功能。</w:t>
                  </w:r>
                </w:p>
              </w:tc>
            </w:tr>
            <w:tr w14:paraId="595397F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00E1B098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77767423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512CA88A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1.4工作站:</w:t>
                  </w:r>
                </w:p>
                <w:p w14:paraId="50621F2B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(1)操作软件支持序列编辑，样品表导出，报告生成等功能；</w:t>
                  </w:r>
                </w:p>
                <w:p w14:paraId="14E3B8D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(2)实现“加液-消解-滴定-分析-结果呈现”一体化，从样品加液、消解到出具最终结果，无人工干预，仪器全自动完成；</w:t>
                  </w:r>
                </w:p>
                <w:p w14:paraId="0291C3E5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 w:val="0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(3)可直接生成PDF报告，防止人为篡改。</w:t>
                  </w:r>
                </w:p>
              </w:tc>
            </w:tr>
            <w:tr w14:paraId="6D5DCC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27ADC751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1CB535E6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50DCC2B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1.5配置要求:</w:t>
                  </w:r>
                </w:p>
                <w:p w14:paraId="593A4D59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(1)全自动化学需氧量分析仪主机1台；</w:t>
                  </w:r>
                </w:p>
                <w:p w14:paraId="04E1D35D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(2)工作站（含软件）1台，工作站配置:内存32 GB及以上，硬盘1TB及以上，显示器23.8英寸及以上；</w:t>
                  </w:r>
                </w:p>
                <w:p w14:paraId="1F78FDF0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(3)电源要求:220V AC；</w:t>
                  </w:r>
                </w:p>
                <w:p w14:paraId="69251316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(4)仪器出风口需接入招标人预留的排风管内。</w:t>
                  </w:r>
                </w:p>
              </w:tc>
            </w:tr>
            <w:tr w14:paraId="57249F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restart"/>
                  <w:shd w:val="clear" w:color="auto" w:fill="auto"/>
                  <w:vAlign w:val="center"/>
                </w:tcPr>
                <w:p w14:paraId="3325B1BA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</w:t>
                  </w:r>
                </w:p>
              </w:tc>
              <w:tc>
                <w:tcPr>
                  <w:tcW w:w="779" w:type="dxa"/>
                  <w:vMerge w:val="restart"/>
                  <w:shd w:val="clear" w:color="auto" w:fill="auto"/>
                  <w:vAlign w:val="center"/>
                </w:tcPr>
                <w:p w14:paraId="0EC8538B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挥发酚流动注射分析仪</w:t>
                  </w: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44E9F586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2.1▲仪器配置</w:t>
                  </w:r>
                </w:p>
                <w:p w14:paraId="075E0625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(1)挥发酚流动注射分析仪主机1台，带内嵌式在线稀释装置、膜分离在线蒸馏模块和在线电冷凝模块；</w:t>
                  </w:r>
                </w:p>
                <w:p w14:paraId="2BD41571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(2)仪器配备70位以上自动进样器；</w:t>
                  </w:r>
                </w:p>
                <w:p w14:paraId="1E0C4EBC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(3)仪器维护专用工具。</w:t>
                  </w:r>
                </w:p>
              </w:tc>
            </w:tr>
            <w:tr w14:paraId="78D330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018E9F67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70C58386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54A03AD7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2.2▲仪器性能技术指标:</w:t>
                  </w:r>
                </w:p>
                <w:p w14:paraId="59AD4A8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(1)方法原理:《水质 挥发酚的测定 流动注射-4 -氨基安替比林分光光度法》（HJ 825-2017）；</w:t>
                  </w:r>
                </w:p>
                <w:p w14:paraId="58789B6F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(2)线性范围:0.001-0.2 mg/L（最高5.0mg/L应分段测量）；</w:t>
                  </w:r>
                </w:p>
                <w:p w14:paraId="2E27F32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(3)检出限:≤0.0003 mg/L；</w:t>
                  </w:r>
                </w:p>
                <w:p w14:paraId="0E9FF98F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(4)样品分析频率:16-20样/小时；</w:t>
                  </w:r>
                </w:p>
                <w:p w14:paraId="5023FE89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(5)精密度:≤1%。</w:t>
                  </w:r>
                </w:p>
              </w:tc>
            </w:tr>
            <w:tr w14:paraId="1941AB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463B4A59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62EFDC44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5956F05D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2.3▲仪器配套的化学流路元件都固定在化学流路板上，化学流路板以与水平面呈15-45度倾角放置在仪器上，有利于观察化学反应情况和废液的集中收集，避免废液腐蚀。</w:t>
                  </w:r>
                </w:p>
              </w:tc>
            </w:tr>
            <w:tr w14:paraId="571282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75CF0EE6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41DF0302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5BBC212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en-US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 xml:space="preserve">2.4一体机式设计，无需使用压缩气体，所有化学分析流路使用FEP全化学惰性透明管, 无翻边管路接头。                                                                                                                               </w:t>
                  </w:r>
                </w:p>
              </w:tc>
            </w:tr>
            <w:tr w14:paraId="6CB5A7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0E0A9760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291B51A2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2EFE9484">
                  <w:pPr>
                    <w:pStyle w:val="18"/>
                    <w:adjustRightInd w:val="0"/>
                    <w:snapToGrid w:val="0"/>
                    <w:ind w:right="480" w:rightChars="0" w:firstLine="0" w:firstLineChars="0"/>
                    <w:jc w:val="both"/>
                    <w:rPr>
                      <w:rFonts w:hint="eastAsia" w:ascii="宋体" w:hAnsi="宋体" w:eastAsia="宋体" w:cs="宋体"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en-US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en-US"/>
                    </w:rPr>
                    <w:t>2.5进样器具有独立补液泵设计，载流不但携带样品与试剂混合，还可起到清洁样品输送管路的作用，在不同的样品之间泵入载流，可清洗取样针、完全避免样品滞留引起交叉污染。</w:t>
                  </w:r>
                </w:p>
              </w:tc>
            </w:tr>
            <w:tr w14:paraId="144651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41B2E24A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2797A451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3AB80274">
                  <w:pPr>
                    <w:pStyle w:val="18"/>
                    <w:adjustRightInd w:val="0"/>
                    <w:snapToGrid w:val="0"/>
                    <w:ind w:right="480" w:rightChars="0" w:firstLine="0" w:firstLineChars="0"/>
                    <w:jc w:val="both"/>
                    <w:rPr>
                      <w:rFonts w:hint="eastAsia" w:ascii="宋体" w:hAnsi="宋体" w:eastAsia="宋体" w:cs="宋体"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en-US" w:bidi="en-US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en-US"/>
                    </w:rPr>
                    <w:t>2.6在线自动稀释装置，稀释倍数≥20倍，配置的标准曲线r&gt;0.999。</w:t>
                  </w:r>
                </w:p>
              </w:tc>
            </w:tr>
            <w:tr w14:paraId="11E173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restart"/>
                  <w:shd w:val="clear" w:color="auto" w:fill="auto"/>
                  <w:vAlign w:val="center"/>
                </w:tcPr>
                <w:p w14:paraId="6A92F3F2">
                  <w:pPr>
                    <w:adjustRightInd w:val="0"/>
                    <w:snapToGrid w:val="0"/>
                    <w:spacing w:line="240" w:lineRule="auto"/>
                    <w:ind w:right="480" w:rightChars="0"/>
                    <w:jc w:val="center"/>
                    <w:rPr>
                      <w:rFonts w:hint="eastAsia" w:ascii="宋体" w:hAnsi="宋体" w:eastAsia="宋体" w:cs="宋体"/>
                      <w:b w:val="0"/>
                      <w:bCs/>
                      <w:color w:val="000000"/>
                      <w:kern w:val="0"/>
                      <w:sz w:val="21"/>
                      <w:szCs w:val="21"/>
                      <w:highlight w:val="none"/>
                      <w:vertAlign w:val="baseline"/>
                      <w:lang w:val="en-US" w:eastAsia="zh-CN" w:bidi="en-US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000000"/>
                      <w:kern w:val="0"/>
                      <w:sz w:val="21"/>
                      <w:szCs w:val="21"/>
                      <w:highlight w:val="none"/>
                      <w:vertAlign w:val="baseline"/>
                      <w:lang w:val="en-US" w:eastAsia="zh-CN" w:bidi="en-US"/>
                    </w:rPr>
                    <w:t>3</w:t>
                  </w:r>
                </w:p>
              </w:tc>
              <w:tc>
                <w:tcPr>
                  <w:tcW w:w="779" w:type="dxa"/>
                  <w:vMerge w:val="restart"/>
                  <w:shd w:val="clear" w:color="auto" w:fill="auto"/>
                  <w:vAlign w:val="center"/>
                </w:tcPr>
                <w:p w14:paraId="674730D1">
                  <w:pPr>
                    <w:adjustRightInd w:val="0"/>
                    <w:snapToGrid w:val="0"/>
                    <w:spacing w:line="240" w:lineRule="auto"/>
                    <w:ind w:right="480" w:rightChars="0"/>
                    <w:jc w:val="center"/>
                    <w:rPr>
                      <w:rFonts w:hint="eastAsia" w:ascii="宋体" w:hAnsi="宋体" w:eastAsia="宋体" w:cs="宋体"/>
                      <w:b w:val="0"/>
                      <w:bCs/>
                      <w:color w:val="000000"/>
                      <w:kern w:val="0"/>
                      <w:sz w:val="21"/>
                      <w:szCs w:val="21"/>
                      <w:highlight w:val="none"/>
                      <w:vertAlign w:val="baseline"/>
                      <w:lang w:val="en-US" w:eastAsia="zh-CN" w:bidi="en-US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000000"/>
                      <w:kern w:val="0"/>
                      <w:sz w:val="21"/>
                      <w:szCs w:val="21"/>
                      <w:highlight w:val="none"/>
                      <w:vertAlign w:val="baseline"/>
                      <w:lang w:val="en-US" w:eastAsia="zh-CN" w:bidi="en-US"/>
                    </w:rPr>
                    <w:t>气相分子吸收光谱仪</w:t>
                  </w: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6F71461A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3.1★仪器性能要求:</w:t>
                  </w:r>
                </w:p>
                <w:p w14:paraId="6283BA6E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(1)仪器符合《水质 总氮的测定 气相分子吸收光谱法》（HJ 199—2023）和《水质 硫化物的测定 气相分子吸收光谱法》（HJ 200—2023）的要求，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检出限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:总氮≤0.05mg/L、硫化物≤0.005mg/L；</w:t>
                  </w:r>
                </w:p>
                <w:p w14:paraId="60B149F4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线性要求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: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相关性系数r≥0.9995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；</w:t>
                  </w:r>
                </w:p>
                <w:p w14:paraId="50EA0029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(3)总氮:1.0 mg/L溶液，RSD&lt;2％；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硫化物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: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0.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 xml:space="preserve">5 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mg/L溶液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，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RSD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&lt;2％；</w:t>
                  </w:r>
                </w:p>
                <w:p w14:paraId="56017B0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(4)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灵敏度（标准曲线斜率）：氨氮≥0.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18，总氮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≥0.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07；硫化物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≥0.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08</w:t>
                  </w:r>
                  <w:r>
                    <w:rPr>
                      <w:rFonts w:hint="eastAsia" w:ascii="宋体" w:hAnsi="宋体" w:eastAsia="宋体" w:cs="宋体"/>
                      <w:bCs/>
                      <w:color w:val="0000FF"/>
                      <w:sz w:val="21"/>
                      <w:szCs w:val="21"/>
                      <w:highlight w:val="none"/>
                      <w:lang w:val="en-US" w:eastAsia="zh-CN"/>
                    </w:rPr>
                    <w:t>。</w:t>
                  </w:r>
                </w:p>
              </w:tc>
            </w:tr>
            <w:tr w14:paraId="18CA43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3BE6F586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67BEF3E9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390AC42D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3.2▲仪器配置:</w:t>
                  </w:r>
                </w:p>
                <w:p w14:paraId="4485336B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(1)主机1台(含反应分离器、流动注射进样系统、自动除水系统、在线加热系统、EPC系统、光源系统、电子压力报警系统、TCS温度控制系统、氨氮在线氧化系统，紫外在线消解模块、自动稀释系统)</w:t>
                  </w:r>
                </w:p>
                <w:p w14:paraId="4F18D338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自动进样器1套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，样品位数≥50位；</w:t>
                  </w:r>
                </w:p>
                <w:p w14:paraId="7D3A73D6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(3)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软件系统1套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；</w:t>
                  </w:r>
                </w:p>
                <w:p w14:paraId="6C4974C9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(4)数据处理工作站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1套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；</w:t>
                  </w:r>
                </w:p>
                <w:p w14:paraId="46BF75AD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(5)配套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耗材1批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。</w:t>
                  </w:r>
                </w:p>
              </w:tc>
            </w:tr>
            <w:tr w14:paraId="457CF5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0C4DF30D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3738C3E7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4F5CBF57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3.3▲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主机集成紫外在线消解模块，用于总氮测定时的自动在线消解，无需另配独立的紫外在线消解模块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。</w:t>
                  </w:r>
                </w:p>
              </w:tc>
            </w:tr>
            <w:tr w14:paraId="4FB23C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13218984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7E0FB4D2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1D3405D6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3.4可自动配置标准曲线，相关性系数&gt;0.9995，仪器具备自动稀释功能，最大稀释倍数≥50倍，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稀释准确度：0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-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20倍时，稀释误差小于3%；20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-50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倍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时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ja-JP"/>
                    </w:rPr>
                    <w:t>稀释误差小于5%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。</w:t>
                  </w:r>
                </w:p>
              </w:tc>
            </w:tr>
            <w:tr w14:paraId="58D923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4E6D4AFF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6531208B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614D2D05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3.5检测器能实现全谱检测，光谱响应范围宽（190-400nm）。</w:t>
                  </w:r>
                </w:p>
              </w:tc>
            </w:tr>
            <w:tr w14:paraId="1ADC1C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263EB509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343BAB8A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156234CF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3.6仪器主机具备气路清洗装置。</w:t>
                  </w:r>
                </w:p>
              </w:tc>
            </w:tr>
            <w:tr w14:paraId="5043B28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4F940FF5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64FCB6FE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42ABCEEB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3.7检测时，软件实时记录不少于5个波长的吸光度变化情况，形成多个波长的信号图谱。</w:t>
                  </w:r>
                </w:p>
              </w:tc>
            </w:tr>
            <w:tr w14:paraId="63AFE5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restart"/>
                  <w:shd w:val="clear" w:color="auto" w:fill="auto"/>
                  <w:vAlign w:val="center"/>
                </w:tcPr>
                <w:p w14:paraId="411C0CE5">
                  <w:pPr>
                    <w:adjustRightInd w:val="0"/>
                    <w:snapToGrid w:val="0"/>
                    <w:spacing w:line="240" w:lineRule="auto"/>
                    <w:ind w:right="480" w:rightChars="0"/>
                    <w:jc w:val="center"/>
                    <w:rPr>
                      <w:rFonts w:hint="eastAsia" w:ascii="宋体" w:hAnsi="宋体" w:eastAsia="宋体" w:cs="宋体"/>
                      <w:b w:val="0"/>
                      <w:bCs/>
                      <w:color w:val="000000"/>
                      <w:kern w:val="0"/>
                      <w:sz w:val="21"/>
                      <w:szCs w:val="21"/>
                      <w:highlight w:val="none"/>
                      <w:vertAlign w:val="baseline"/>
                      <w:lang w:val="en-US" w:eastAsia="zh-CN" w:bidi="en-US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/>
                      <w:color w:val="000000"/>
                      <w:kern w:val="0"/>
                      <w:sz w:val="21"/>
                      <w:szCs w:val="21"/>
                      <w:highlight w:val="none"/>
                      <w:vertAlign w:val="baseline"/>
                      <w:lang w:val="en-US" w:eastAsia="zh-CN" w:bidi="en-US"/>
                    </w:rPr>
                    <w:t>4</w:t>
                  </w:r>
                </w:p>
              </w:tc>
              <w:tc>
                <w:tcPr>
                  <w:tcW w:w="779" w:type="dxa"/>
                  <w:vMerge w:val="restart"/>
                  <w:shd w:val="clear" w:color="auto" w:fill="auto"/>
                  <w:vAlign w:val="center"/>
                </w:tcPr>
                <w:p w14:paraId="41A91106">
                  <w:pPr>
                    <w:adjustRightInd w:val="0"/>
                    <w:snapToGrid w:val="0"/>
                    <w:spacing w:line="240" w:lineRule="auto"/>
                    <w:ind w:right="480" w:rightChars="0"/>
                    <w:jc w:val="center"/>
                    <w:rPr>
                      <w:rFonts w:hint="eastAsia" w:ascii="宋体" w:hAnsi="宋体" w:eastAsia="宋体" w:cs="宋体"/>
                      <w:b w:val="0"/>
                      <w:bCs/>
                      <w:color w:val="000000"/>
                      <w:kern w:val="0"/>
                      <w:sz w:val="21"/>
                      <w:szCs w:val="21"/>
                      <w:highlight w:val="none"/>
                      <w:vertAlign w:val="baseline"/>
                      <w:lang w:val="en-US" w:eastAsia="zh-CN" w:bidi="en-US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w:t>数字瓶口滴定器</w:t>
                  </w: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3B7A43FE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4.1▲仪器性能</w:t>
                  </w:r>
                </w:p>
                <w:p w14:paraId="0AFE7A04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(1)仪器符合A级玻璃滴定管标准；</w:t>
                  </w:r>
                </w:p>
                <w:p w14:paraId="46561243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(2)量程50ml，准确度≤±0.06%；相对偏差≤±0.02%。</w:t>
                  </w:r>
                </w:p>
              </w:tc>
            </w:tr>
            <w:tr w14:paraId="7DDB00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29E23F7A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3AF77A75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7C586141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4.2易于拆卸清洗、维护及更换零部件；</w:t>
                  </w:r>
                </w:p>
              </w:tc>
            </w:tr>
            <w:tr w14:paraId="411759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0" w:hRule="atLeast"/>
              </w:trPr>
              <w:tc>
                <w:tcPr>
                  <w:tcW w:w="385" w:type="dxa"/>
                  <w:vMerge w:val="continue"/>
                  <w:shd w:val="clear" w:color="auto" w:fill="auto"/>
                  <w:vAlign w:val="center"/>
                </w:tcPr>
                <w:p w14:paraId="79968F76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79" w:type="dxa"/>
                  <w:vMerge w:val="continue"/>
                  <w:shd w:val="clear" w:color="auto" w:fill="auto"/>
                  <w:vAlign w:val="center"/>
                </w:tcPr>
                <w:p w14:paraId="00132F2A">
                  <w:pPr>
                    <w:adjustRightInd w:val="0"/>
                    <w:snapToGrid w:val="0"/>
                    <w:spacing w:line="240" w:lineRule="auto"/>
                    <w:ind w:right="480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7057" w:type="dxa"/>
                  <w:shd w:val="clear" w:color="auto" w:fill="auto"/>
                  <w:vAlign w:val="center"/>
                </w:tcPr>
                <w:p w14:paraId="40170EBB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4.3极限工作条件</w:t>
                  </w:r>
                </w:p>
                <w:p w14:paraId="7A530601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(1)装置及试剂温度范围＋15℃至40℃；</w:t>
                  </w:r>
                </w:p>
                <w:p w14:paraId="2294BE0A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(2)最大蒸汽压至500mbar；</w:t>
                  </w:r>
                </w:p>
                <w:p w14:paraId="08F0CBAF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(3)最大粘度至500mm2/s；</w:t>
                  </w:r>
                </w:p>
                <w:p w14:paraId="3FA9F00B">
                  <w:pPr>
                    <w:numPr>
                      <w:ilvl w:val="0"/>
                      <w:numId w:val="0"/>
                    </w:numPr>
                    <w:adjustRightInd w:val="0"/>
                    <w:snapToGrid w:val="0"/>
                    <w:spacing w:line="240" w:lineRule="auto"/>
                    <w:ind w:right="480" w:rightChars="0"/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(4)相对湿度范围:20%至90%。</w:t>
                  </w:r>
                </w:p>
              </w:tc>
            </w:tr>
          </w:tbl>
          <w:p w14:paraId="5DB4148E">
            <w:pPr>
              <w:spacing w:line="560" w:lineRule="exact"/>
              <w:jc w:val="both"/>
              <w:rPr>
                <w:rFonts w:hint="eastAsia" w:ascii="仿宋_GB2312" w:hAnsi="仿宋" w:eastAsia="仿宋_GB2312"/>
                <w:kern w:val="2"/>
                <w:sz w:val="32"/>
                <w:szCs w:val="32"/>
                <w:lang w:eastAsia="zh-CN" w:bidi="ar-SA"/>
              </w:rPr>
            </w:pPr>
          </w:p>
        </w:tc>
      </w:tr>
    </w:tbl>
    <w:p w14:paraId="4051AEF0">
      <w:pPr>
        <w:spacing w:line="560" w:lineRule="exact"/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eastAsia="zh-CN" w:bidi="ar-SA"/>
        </w:rPr>
        <w:t>经办人:                    需求单位负责人:</w:t>
      </w:r>
    </w:p>
    <w:p w14:paraId="18B0F80B">
      <w:pPr>
        <w:spacing w:after="60" w:line="560" w:lineRule="exact"/>
        <w:ind w:firstLine="600" w:firstLineChars="200"/>
        <w:rPr>
          <w:rFonts w:hint="eastAsia" w:ascii="宋体" w:hAnsi="宋体" w:eastAsia="宋体"/>
          <w:sz w:val="30"/>
          <w:szCs w:val="30"/>
          <w:lang w:eastAsia="zh-CN"/>
        </w:rPr>
      </w:pPr>
    </w:p>
    <w:p w14:paraId="3C108F4C">
      <w:pPr>
        <w:spacing w:after="60" w:line="560" w:lineRule="exact"/>
        <w:ind w:firstLine="4800" w:firstLineChars="1600"/>
        <w:rPr>
          <w:lang w:eastAsia="zh-CN"/>
        </w:rPr>
      </w:pPr>
      <w:r>
        <w:rPr>
          <w:rFonts w:hint="eastAsia" w:ascii="宋体" w:hAnsi="宋体" w:eastAsia="宋体"/>
          <w:sz w:val="30"/>
          <w:szCs w:val="30"/>
          <w:lang w:eastAsia="zh-CN"/>
        </w:rPr>
        <w:t>日期: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2026年7月10日</w:t>
      </w:r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417" w:right="1701" w:bottom="1417" w:left="1701" w:header="0" w:footer="662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70A3A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13</w:t>
    </w:r>
    <w:r>
      <w:rPr>
        <w:lang w:val="zh-CN"/>
      </w:rPr>
      <w:fldChar w:fldCharType="end"/>
    </w:r>
  </w:p>
  <w:p w14:paraId="73D031D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1569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BE"/>
    <w:rsid w:val="0003573F"/>
    <w:rsid w:val="000357E8"/>
    <w:rsid w:val="0004241F"/>
    <w:rsid w:val="000C65BB"/>
    <w:rsid w:val="000D0434"/>
    <w:rsid w:val="000E3C75"/>
    <w:rsid w:val="00146EB6"/>
    <w:rsid w:val="001506C4"/>
    <w:rsid w:val="001A3DAD"/>
    <w:rsid w:val="001C0B90"/>
    <w:rsid w:val="001E296A"/>
    <w:rsid w:val="00236152"/>
    <w:rsid w:val="00267DA3"/>
    <w:rsid w:val="00286C84"/>
    <w:rsid w:val="002B583F"/>
    <w:rsid w:val="002D1F2F"/>
    <w:rsid w:val="00307B0F"/>
    <w:rsid w:val="0037108B"/>
    <w:rsid w:val="003B0263"/>
    <w:rsid w:val="003C2265"/>
    <w:rsid w:val="003C406E"/>
    <w:rsid w:val="003C71FE"/>
    <w:rsid w:val="003F60CA"/>
    <w:rsid w:val="004363F5"/>
    <w:rsid w:val="00480728"/>
    <w:rsid w:val="004958CF"/>
    <w:rsid w:val="004A6626"/>
    <w:rsid w:val="004E5A88"/>
    <w:rsid w:val="00551DBE"/>
    <w:rsid w:val="00591032"/>
    <w:rsid w:val="005B2DAC"/>
    <w:rsid w:val="005D686D"/>
    <w:rsid w:val="005E15F0"/>
    <w:rsid w:val="005F0248"/>
    <w:rsid w:val="005F097C"/>
    <w:rsid w:val="006A0BCD"/>
    <w:rsid w:val="006A1A44"/>
    <w:rsid w:val="006E6337"/>
    <w:rsid w:val="00743BA8"/>
    <w:rsid w:val="0077111B"/>
    <w:rsid w:val="00796D79"/>
    <w:rsid w:val="007A5C30"/>
    <w:rsid w:val="007A70AF"/>
    <w:rsid w:val="007D541E"/>
    <w:rsid w:val="007E50F5"/>
    <w:rsid w:val="007F706A"/>
    <w:rsid w:val="008329E3"/>
    <w:rsid w:val="00861D69"/>
    <w:rsid w:val="00880D54"/>
    <w:rsid w:val="008B19A8"/>
    <w:rsid w:val="0092708B"/>
    <w:rsid w:val="009807D7"/>
    <w:rsid w:val="009D09D7"/>
    <w:rsid w:val="009D2B0D"/>
    <w:rsid w:val="00A05A08"/>
    <w:rsid w:val="00A77277"/>
    <w:rsid w:val="00A97F11"/>
    <w:rsid w:val="00AB07C2"/>
    <w:rsid w:val="00AB3C08"/>
    <w:rsid w:val="00AC1ADD"/>
    <w:rsid w:val="00AF0273"/>
    <w:rsid w:val="00B2440B"/>
    <w:rsid w:val="00B636B1"/>
    <w:rsid w:val="00B66F78"/>
    <w:rsid w:val="00B8137C"/>
    <w:rsid w:val="00BF362A"/>
    <w:rsid w:val="00C10CD7"/>
    <w:rsid w:val="00C27952"/>
    <w:rsid w:val="00C9577F"/>
    <w:rsid w:val="00DB4626"/>
    <w:rsid w:val="00DD7773"/>
    <w:rsid w:val="00DE398F"/>
    <w:rsid w:val="00E03793"/>
    <w:rsid w:val="00E1091A"/>
    <w:rsid w:val="00E1109F"/>
    <w:rsid w:val="00E30A0C"/>
    <w:rsid w:val="00E37768"/>
    <w:rsid w:val="00E46D09"/>
    <w:rsid w:val="00E55B56"/>
    <w:rsid w:val="00E662E3"/>
    <w:rsid w:val="00E938E6"/>
    <w:rsid w:val="00ED1D6B"/>
    <w:rsid w:val="00F100BC"/>
    <w:rsid w:val="00F14ED8"/>
    <w:rsid w:val="00F67448"/>
    <w:rsid w:val="00F76EA5"/>
    <w:rsid w:val="00F87F4D"/>
    <w:rsid w:val="053D3E79"/>
    <w:rsid w:val="08AD11AC"/>
    <w:rsid w:val="0E944F6C"/>
    <w:rsid w:val="146F1C7A"/>
    <w:rsid w:val="186D20C8"/>
    <w:rsid w:val="19C40A22"/>
    <w:rsid w:val="266A6A94"/>
    <w:rsid w:val="281A1D01"/>
    <w:rsid w:val="2B70070F"/>
    <w:rsid w:val="32BD0DAD"/>
    <w:rsid w:val="377C641E"/>
    <w:rsid w:val="3DE334D3"/>
    <w:rsid w:val="434C6995"/>
    <w:rsid w:val="454730AA"/>
    <w:rsid w:val="472E4714"/>
    <w:rsid w:val="4A197060"/>
    <w:rsid w:val="4DDF6200"/>
    <w:rsid w:val="56B23C38"/>
    <w:rsid w:val="56EC0D4A"/>
    <w:rsid w:val="5A4E7D6E"/>
    <w:rsid w:val="5E893297"/>
    <w:rsid w:val="615D4B46"/>
    <w:rsid w:val="616E2A92"/>
    <w:rsid w:val="629F27D7"/>
    <w:rsid w:val="679113F7"/>
    <w:rsid w:val="6EB001CB"/>
    <w:rsid w:val="74C90D33"/>
    <w:rsid w:val="762F3DD7"/>
    <w:rsid w:val="7AF9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Courier New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 w:bidi="ar-SA"/>
    </w:rPr>
  </w:style>
  <w:style w:type="paragraph" w:styleId="6">
    <w:name w:val="Body Text First Indent 2"/>
    <w:basedOn w:val="3"/>
    <w:link w:val="15"/>
    <w:unhideWhenUsed/>
    <w:qFormat/>
    <w:uiPriority w:val="99"/>
    <w:pPr>
      <w:spacing w:afterLines="25" w:line="300" w:lineRule="auto"/>
      <w:ind w:firstLine="420" w:firstLineChars="200"/>
      <w:jc w:val="both"/>
    </w:pPr>
    <w:rPr>
      <w:rFonts w:ascii="等线" w:hAnsi="等线" w:eastAsia="等线"/>
      <w:color w:val="auto"/>
      <w:kern w:val="2"/>
      <w:sz w:val="21"/>
      <w:szCs w:val="22"/>
      <w:lang w:eastAsia="zh-CN" w:bidi="ar-SA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正文文本缩进 字符"/>
    <w:basedOn w:val="9"/>
    <w:link w:val="3"/>
    <w:semiHidden/>
    <w:qFormat/>
    <w:uiPriority w:val="99"/>
    <w:rPr>
      <w:rFonts w:ascii="Times New Roman" w:hAnsi="Times New Roman" w:eastAsia="Courier New" w:cs="Times New Roman"/>
      <w:color w:val="000000"/>
      <w:kern w:val="0"/>
      <w:sz w:val="24"/>
      <w:szCs w:val="24"/>
      <w:lang w:eastAsia="en-US" w:bidi="en-US"/>
    </w:rPr>
  </w:style>
  <w:style w:type="character" w:customStyle="1" w:styleId="15">
    <w:name w:val="正文文本首行缩进 2 字符"/>
    <w:basedOn w:val="14"/>
    <w:link w:val="6"/>
    <w:qFormat/>
    <w:uiPriority w:val="99"/>
    <w:rPr>
      <w:rFonts w:ascii="等线" w:hAnsi="等线" w:eastAsia="等线" w:cs="Times New Roman"/>
      <w:color w:val="000000"/>
      <w:kern w:val="0"/>
      <w:sz w:val="24"/>
      <w:szCs w:val="24"/>
      <w:lang w:eastAsia="en-US" w:bidi="en-US"/>
    </w:rPr>
  </w:style>
  <w:style w:type="paragraph" w:customStyle="1" w:styleId="16">
    <w:name w:val="其他"/>
    <w:basedOn w:val="1"/>
    <w:qFormat/>
    <w:uiPriority w:val="0"/>
    <w:pPr>
      <w:shd w:val="clear" w:color="auto" w:fill="FFFFFF"/>
      <w:spacing w:line="454" w:lineRule="auto"/>
      <w:ind w:firstLine="400"/>
    </w:pPr>
    <w:rPr>
      <w:rFonts w:ascii="微软雅黑" w:hAnsi="微软雅黑" w:eastAsia="微软雅黑" w:cs="微软雅黑"/>
      <w:sz w:val="40"/>
      <w:szCs w:val="40"/>
      <w:lang w:val="zh-CN" w:eastAsia="zh-CN" w:bidi="zh-CN"/>
    </w:rPr>
  </w:style>
  <w:style w:type="paragraph" w:styleId="17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列出段落11"/>
    <w:basedOn w:val="1"/>
    <w:qFormat/>
    <w:uiPriority w:val="99"/>
    <w:pPr>
      <w:widowControl/>
      <w:ind w:firstLine="420" w:firstLineChars="200"/>
      <w:jc w:val="left"/>
    </w:pPr>
    <w:rPr>
      <w:rFonts w:ascii="Times New Roman" w:hAnsi="Times New Roman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4152</Words>
  <Characters>4598</Characters>
  <Lines>15</Lines>
  <Paragraphs>4</Paragraphs>
  <TotalTime>20</TotalTime>
  <ScaleCrop>false</ScaleCrop>
  <LinksUpToDate>false</LinksUpToDate>
  <CharactersWithSpaces>4845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2026-02-02T01:55:00Z</dcterms:created>
  <dc:creator>黄宇</dc:creator>
  <cp:lastModifiedBy>LBX</cp:lastModifiedBy>
  <cp:lastPrinted>2026-04-14T04:19:00Z</cp:lastPrinted>
  <dcterms:modified xsi:type="dcterms:W3CDTF">2026-07-10T08:15:46Z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eyJoZGlkIjoiMTQ4YmRmZWFiZWJiYjNkZDUyZjNhM2QzNjQyNjFlMTQiLCJ1c2VySWQiOiIyNDMxMTMzOTYifQ==</vt:lpwstr>
  </property>
  <property fmtid="{D5CDD505-2E9C-101B-9397-08002B2CF9AE}" pid="3" name="KSOProductBuildVer">
    <vt:lpwstr>2052-12.1.0.26884</vt:lpwstr>
  </property>
  <property fmtid="{D5CDD505-2E9C-101B-9397-08002B2CF9AE}" pid="4" name="ICV">
    <vt:lpwstr>70D8A496F2B8400D8AA1D55975FE0074_13</vt:lpwstr>
  </property>
</Properties>
</file>